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70C4B" w14:textId="77777777" w:rsidR="002943F2" w:rsidRPr="001D07C6" w:rsidRDefault="000E541A">
      <w:pPr>
        <w:pStyle w:val="Titre1"/>
        <w:rPr>
          <w:caps w:val="0"/>
        </w:rPr>
      </w:pPr>
      <w:r>
        <w:t xml:space="preserve">fonds de tiers et </w:t>
      </w:r>
      <w:r w:rsidR="002943F2" w:rsidRPr="001D07C6">
        <w:fldChar w:fldCharType="begin"/>
      </w:r>
      <w:r w:rsidR="002943F2" w:rsidRPr="001D07C6">
        <w:instrText xml:space="preserve">title </w:instrText>
      </w:r>
      <w:r w:rsidR="002943F2" w:rsidRPr="001D07C6">
        <w:fldChar w:fldCharType="separate"/>
      </w:r>
      <w:r w:rsidR="002943F2" w:rsidRPr="001D07C6">
        <w:t xml:space="preserve">Comptes </w:t>
      </w:r>
      <w:r w:rsidR="00C2457F">
        <w:t>DE QUALITE</w:t>
      </w:r>
      <w:r w:rsidR="002943F2" w:rsidRPr="001D07C6">
        <w:t xml:space="preserve"> des agents immobiliers</w:t>
      </w:r>
      <w:r w:rsidR="002943F2" w:rsidRPr="001D07C6">
        <w:fldChar w:fldCharType="end"/>
      </w:r>
      <w:r w:rsidR="001D07C6">
        <w:t xml:space="preserve"> </w:t>
      </w:r>
      <w:r w:rsidR="001D07C6" w:rsidRPr="001D07C6">
        <w:rPr>
          <w:b w:val="0"/>
        </w:rPr>
        <w:t>(</w:t>
      </w:r>
      <w:r w:rsidR="001D07C6" w:rsidRPr="001D07C6">
        <w:rPr>
          <w:b w:val="0"/>
          <w:caps w:val="0"/>
        </w:rPr>
        <w:t>version 2018)</w:t>
      </w:r>
    </w:p>
    <w:p w14:paraId="3E1F6898" w14:textId="77777777" w:rsidR="002943F2" w:rsidRPr="009945A5" w:rsidRDefault="002943F2">
      <w:pPr>
        <w:pStyle w:val="Tekstopmerking"/>
      </w:pPr>
      <w:r w:rsidRPr="009945A5">
        <w:t>CONVENTION</w:t>
      </w:r>
    </w:p>
    <w:p w14:paraId="55FC76C5" w14:textId="77777777" w:rsidR="000E541A" w:rsidRPr="006D5A5F" w:rsidRDefault="002943F2">
      <w:pPr>
        <w:ind w:right="-482"/>
      </w:pPr>
      <w:r w:rsidRPr="006D5A5F">
        <w:t>Entre : ……………………………………………………………</w:t>
      </w:r>
    </w:p>
    <w:p w14:paraId="51653E74" w14:textId="77777777" w:rsidR="002943F2" w:rsidRPr="006D5A5F" w:rsidRDefault="00C2457F" w:rsidP="00832463">
      <w:pPr>
        <w:ind w:left="960" w:right="-482"/>
      </w:pPr>
      <w:r w:rsidRPr="00F47801">
        <w:t>Agissant en qualité d’agent immobilier intermédiaire et / ou d’agent immobilier régisseur</w:t>
      </w:r>
      <w:r w:rsidR="000E541A" w:rsidRPr="006D5A5F">
        <w:rPr>
          <w:rFonts w:asciiTheme="majorHAnsi" w:hAnsiTheme="majorHAnsi"/>
        </w:rPr>
        <w:t xml:space="preserve"> </w:t>
      </w:r>
      <w:r w:rsidR="002943F2" w:rsidRPr="006D5A5F">
        <w:br/>
        <w:t xml:space="preserve">        </w:t>
      </w:r>
    </w:p>
    <w:p w14:paraId="3419CEA5" w14:textId="77777777" w:rsidR="002943F2" w:rsidRDefault="002943F2">
      <w:pPr>
        <w:ind w:right="-482"/>
      </w:pPr>
      <w:r>
        <w:t>Et    : ……………………………………, ci-après dénommée « la banque »,</w:t>
      </w:r>
      <w:r>
        <w:br/>
        <w:t xml:space="preserve">        Représenté</w:t>
      </w:r>
      <w:r w:rsidR="00F0678C">
        <w:t>e</w:t>
      </w:r>
      <w:r>
        <w:t xml:space="preserve"> par …….</w:t>
      </w:r>
    </w:p>
    <w:p w14:paraId="5D1955FF" w14:textId="77777777" w:rsidR="002943F2" w:rsidRPr="00832463" w:rsidRDefault="002943F2">
      <w:pPr>
        <w:ind w:right="-482"/>
        <w:rPr>
          <w:b/>
        </w:rPr>
      </w:pPr>
      <w:r w:rsidRPr="00832463">
        <w:rPr>
          <w:b/>
        </w:rPr>
        <w:t>Il a été déclaré ce qui suit :</w:t>
      </w:r>
    </w:p>
    <w:p w14:paraId="30051179" w14:textId="77777777" w:rsidR="002943F2" w:rsidRDefault="002943F2">
      <w:pPr>
        <w:pStyle w:val="Plattetekst"/>
      </w:pPr>
      <w:r>
        <w:t>L’agent immobilier déclare que le compte n° …… , ouvert au nom de</w:t>
      </w:r>
      <w:r w:rsidR="00F0678C">
        <w:t xml:space="preserve"> </w:t>
      </w:r>
      <w:r>
        <w:t>…, sera affecté au maniement de</w:t>
      </w:r>
      <w:r w:rsidR="004613D1">
        <w:t>s</w:t>
      </w:r>
      <w:r>
        <w:t xml:space="preserve"> fonds</w:t>
      </w:r>
      <w:r w:rsidR="004613D1">
        <w:t xml:space="preserve"> </w:t>
      </w:r>
      <w:proofErr w:type="spellStart"/>
      <w:r w:rsidR="004613D1">
        <w:t>percus</w:t>
      </w:r>
      <w:proofErr w:type="spellEnd"/>
      <w:r w:rsidR="004613D1">
        <w:t xml:space="preserve"> dans le cadre de l’exercice de son activit</w:t>
      </w:r>
      <w:r w:rsidR="00F47801">
        <w:t xml:space="preserve">é d’agent immobilier et dont </w:t>
      </w:r>
      <w:r w:rsidR="00F0678C">
        <w:t xml:space="preserve">il a été convenu qu’il </w:t>
      </w:r>
      <w:r w:rsidR="004613D1">
        <w:t>n’</w:t>
      </w:r>
      <w:r w:rsidR="00F0678C">
        <w:t>étai</w:t>
      </w:r>
      <w:r w:rsidR="004613D1">
        <w:t xml:space="preserve">t pas le destinataire final </w:t>
      </w:r>
      <w:r w:rsidR="001D07C6">
        <w:t>(conformément à l’art. 21/2 de la loi du 11</w:t>
      </w:r>
      <w:r w:rsidR="00F0678C">
        <w:t> </w:t>
      </w:r>
      <w:r w:rsidR="001D07C6">
        <w:t>février 2013 organisant la profession d’agent immobilier)</w:t>
      </w:r>
      <w:r>
        <w:t>.</w:t>
      </w:r>
    </w:p>
    <w:p w14:paraId="4D7C0FC5" w14:textId="77777777" w:rsidR="002943F2" w:rsidRDefault="000E541A">
      <w:pPr>
        <w:ind w:right="-482"/>
      </w:pPr>
      <w:r>
        <w:t xml:space="preserve">Conformément à la loi du 11 février 2013 organisant la profession d’agent immobilier, l’affectation spéciale dudit compte de tiers </w:t>
      </w:r>
      <w:r w:rsidR="00F0678C">
        <w:t>repose sur</w:t>
      </w:r>
      <w:r>
        <w:t> </w:t>
      </w:r>
      <w:r w:rsidR="002943F2">
        <w:t>:</w:t>
      </w:r>
    </w:p>
    <w:p w14:paraId="2B75D6FA" w14:textId="77777777" w:rsidR="002943F2" w:rsidRDefault="002943F2">
      <w:pPr>
        <w:numPr>
          <w:ilvl w:val="0"/>
          <w:numId w:val="2"/>
        </w:numPr>
        <w:spacing w:after="120"/>
        <w:ind w:right="-475"/>
      </w:pPr>
      <w:r>
        <w:t xml:space="preserve">l’existence d’un compte </w:t>
      </w:r>
      <w:r w:rsidR="00F0678C">
        <w:t>d’</w:t>
      </w:r>
      <w:r>
        <w:t>agent immobilier  distinct, sur lequel sont déposés les autres avoirs affectés à l’agent ou à la société;</w:t>
      </w:r>
    </w:p>
    <w:p w14:paraId="62C50990" w14:textId="77777777" w:rsidR="002943F2" w:rsidRDefault="002943F2">
      <w:pPr>
        <w:numPr>
          <w:ilvl w:val="0"/>
          <w:numId w:val="2"/>
        </w:numPr>
        <w:ind w:right="-482"/>
      </w:pPr>
      <w:r>
        <w:t xml:space="preserve">l’indication exclusive sur le papier </w:t>
      </w:r>
      <w:r w:rsidR="00832463">
        <w:t>à en-tête de l’agent immobilier</w:t>
      </w:r>
      <w:r>
        <w:t>, dudit compte de tiers</w:t>
      </w:r>
      <w:r w:rsidR="004613D1">
        <w:t>, ou, si ce dernier n’est pas mentionné sur le papier à en-tête, l’indication écrite, lors</w:t>
      </w:r>
      <w:r w:rsidR="00F83359">
        <w:t>que l’agent</w:t>
      </w:r>
      <w:r w:rsidR="004613D1">
        <w:t xml:space="preserve"> demande de</w:t>
      </w:r>
      <w:r w:rsidR="00F83359">
        <w:t>s</w:t>
      </w:r>
      <w:r w:rsidR="004613D1">
        <w:t xml:space="preserve"> fonds</w:t>
      </w:r>
      <w:r w:rsidR="00F83359">
        <w:t xml:space="preserve"> à son </w:t>
      </w:r>
      <w:r w:rsidR="000E541A">
        <w:t xml:space="preserve">client </w:t>
      </w:r>
      <w:r w:rsidR="00F83359">
        <w:t>ou à des tiers</w:t>
      </w:r>
      <w:r w:rsidR="004613D1">
        <w:t>, dudit compte de tiers</w:t>
      </w:r>
      <w:r>
        <w:t>.</w:t>
      </w:r>
    </w:p>
    <w:p w14:paraId="3C0CC3DC" w14:textId="77777777" w:rsidR="002943F2" w:rsidRPr="00832463" w:rsidRDefault="00F0678C">
      <w:pPr>
        <w:ind w:right="-482"/>
        <w:rPr>
          <w:b/>
        </w:rPr>
      </w:pPr>
      <w:r>
        <w:rPr>
          <w:b/>
        </w:rPr>
        <w:t xml:space="preserve">A la </w:t>
      </w:r>
      <w:r w:rsidR="002943F2" w:rsidRPr="00832463">
        <w:rPr>
          <w:b/>
        </w:rPr>
        <w:t>suite de quoi, les parties sont convenues de ce qui suit :</w:t>
      </w:r>
    </w:p>
    <w:p w14:paraId="50C2B400" w14:textId="77777777" w:rsidR="000E541A" w:rsidRDefault="000E541A">
      <w:pPr>
        <w:pStyle w:val="Kop6"/>
      </w:pPr>
      <w:r>
        <w:t>Article 1</w:t>
      </w:r>
      <w:r w:rsidRPr="00C248B8">
        <w:rPr>
          <w:vertAlign w:val="superscript"/>
        </w:rPr>
        <w:t>er</w:t>
      </w:r>
    </w:p>
    <w:p w14:paraId="58803F1D" w14:textId="77777777" w:rsidR="00C248B8" w:rsidRPr="00C248B8" w:rsidRDefault="00C248B8" w:rsidP="00C248B8">
      <w:pPr>
        <w:ind w:left="-5"/>
      </w:pPr>
      <w:r w:rsidRPr="00F47801">
        <w:t>Les termes repris dans la convention sont définis comme suit</w:t>
      </w:r>
      <w:r w:rsidR="002A7D59" w:rsidRPr="00F47801">
        <w:t xml:space="preserve"> </w:t>
      </w:r>
      <w:r w:rsidRPr="00F47801">
        <w:t>:</w:t>
      </w:r>
      <w:r w:rsidRPr="00C248B8">
        <w:t xml:space="preserve"> </w:t>
      </w:r>
    </w:p>
    <w:p w14:paraId="4B021094" w14:textId="77777777" w:rsidR="00C248B8" w:rsidRDefault="002A7D59" w:rsidP="00C248B8">
      <w:pPr>
        <w:numPr>
          <w:ilvl w:val="0"/>
          <w:numId w:val="2"/>
        </w:numPr>
        <w:spacing w:after="120"/>
        <w:ind w:right="-475"/>
      </w:pPr>
      <w:r>
        <w:t>l</w:t>
      </w:r>
      <w:r w:rsidR="00C248B8" w:rsidRPr="00C248B8">
        <w:t xml:space="preserve">e compte de tiers est un compte global sur lequel sont reçus ou gérés des fonds qui doivent être </w:t>
      </w:r>
      <w:r>
        <w:t>reversés</w:t>
      </w:r>
      <w:r w:rsidRPr="00C248B8">
        <w:t xml:space="preserve"> </w:t>
      </w:r>
      <w:r w:rsidR="00C248B8" w:rsidRPr="00C248B8">
        <w:t>à des clients ou à des tiers</w:t>
      </w:r>
      <w:r>
        <w:t>,</w:t>
      </w:r>
    </w:p>
    <w:p w14:paraId="2942DDD3" w14:textId="77777777" w:rsidR="00C248B8" w:rsidRPr="00C248B8" w:rsidRDefault="002A7D59" w:rsidP="00C248B8">
      <w:pPr>
        <w:numPr>
          <w:ilvl w:val="0"/>
          <w:numId w:val="2"/>
        </w:numPr>
        <w:ind w:right="-482"/>
      </w:pPr>
      <w:r>
        <w:rPr>
          <w:bCs/>
        </w:rPr>
        <w:t>l</w:t>
      </w:r>
      <w:r w:rsidR="00C248B8" w:rsidRPr="00C248B8">
        <w:rPr>
          <w:bCs/>
        </w:rPr>
        <w:t>e compte rubriqué est un compte individualisé ouvert dans le cadre d'un dossier déterminé ou pour un client déterminé</w:t>
      </w:r>
      <w:r>
        <w:rPr>
          <w:bCs/>
        </w:rPr>
        <w:t>;</w:t>
      </w:r>
    </w:p>
    <w:p w14:paraId="0544BC40" w14:textId="77777777" w:rsidR="000E541A" w:rsidRPr="00F47801" w:rsidRDefault="002A7D59" w:rsidP="00F47801">
      <w:pPr>
        <w:numPr>
          <w:ilvl w:val="0"/>
          <w:numId w:val="2"/>
        </w:numPr>
        <w:spacing w:after="120"/>
        <w:ind w:right="-475"/>
        <w:rPr>
          <w:bCs/>
        </w:rPr>
      </w:pPr>
      <w:r w:rsidRPr="00F47801">
        <w:rPr>
          <w:bCs/>
        </w:rPr>
        <w:t xml:space="preserve">les comptes de tiers et rubriqués sont aussi désignés sous l’appellation conjointe de “comptes de qualité”. </w:t>
      </w:r>
    </w:p>
    <w:p w14:paraId="38F69980" w14:textId="77777777" w:rsidR="000E541A" w:rsidRPr="00F47801" w:rsidRDefault="000E541A" w:rsidP="00BC6668"/>
    <w:p w14:paraId="676B8A74" w14:textId="77777777" w:rsidR="002943F2" w:rsidRPr="00F47801" w:rsidRDefault="002943F2">
      <w:pPr>
        <w:pStyle w:val="Kop6"/>
      </w:pPr>
      <w:r w:rsidRPr="00F47801">
        <w:t xml:space="preserve">Article </w:t>
      </w:r>
      <w:r w:rsidR="000E541A" w:rsidRPr="00F47801">
        <w:t>2</w:t>
      </w:r>
    </w:p>
    <w:p w14:paraId="23AB84DF" w14:textId="77777777" w:rsidR="000E541A" w:rsidRPr="00F47801" w:rsidRDefault="002A7D59" w:rsidP="00BC6668">
      <w:pPr>
        <w:spacing w:after="257"/>
      </w:pPr>
      <w:r w:rsidRPr="00F47801">
        <w:t xml:space="preserve">Le compte de qualité est un compte à vue qui ne peut être débité que par virement, domiciliation ou chèque bancaire ; </w:t>
      </w:r>
    </w:p>
    <w:p w14:paraId="061514BD" w14:textId="77777777" w:rsidR="004613D1" w:rsidRPr="000E541A" w:rsidRDefault="004613D1">
      <w:pPr>
        <w:pStyle w:val="Plattetekst"/>
      </w:pPr>
      <w:r w:rsidRPr="00BC6668">
        <w:t xml:space="preserve">- pour l’agent immobilier </w:t>
      </w:r>
      <w:r w:rsidR="002A7D59">
        <w:t>qui intervient en tant qu’intermédiaire</w:t>
      </w:r>
      <w:r w:rsidRPr="00BC6668">
        <w:t xml:space="preserve"> : </w:t>
      </w:r>
      <w:r w:rsidR="002A7D59">
        <w:t>uni</w:t>
      </w:r>
      <w:r w:rsidR="000E541A" w:rsidRPr="00BC6668">
        <w:t>que</w:t>
      </w:r>
      <w:r w:rsidR="002A7D59">
        <w:t>ment</w:t>
      </w:r>
      <w:r w:rsidR="000E541A" w:rsidRPr="00BC6668">
        <w:t xml:space="preserve"> p</w:t>
      </w:r>
      <w:r w:rsidR="000E541A">
        <w:t xml:space="preserve">ar voie de </w:t>
      </w:r>
      <w:r w:rsidR="002A7D59">
        <w:t xml:space="preserve">virement </w:t>
      </w:r>
      <w:r w:rsidR="000E541A">
        <w:t>(transfer</w:t>
      </w:r>
      <w:r w:rsidR="002A7D59">
        <w:t>t</w:t>
      </w:r>
      <w:r w:rsidR="000E541A">
        <w:t xml:space="preserve"> d’argent) ou par chèque bancaire</w:t>
      </w:r>
      <w:r w:rsidR="002A7D59">
        <w:t> ;</w:t>
      </w:r>
    </w:p>
    <w:p w14:paraId="71C95333" w14:textId="77777777" w:rsidR="004613D1" w:rsidRDefault="004613D1">
      <w:pPr>
        <w:pStyle w:val="Plattetekst"/>
      </w:pPr>
      <w:r>
        <w:t xml:space="preserve">- </w:t>
      </w:r>
      <w:r w:rsidRPr="00BC6668">
        <w:t xml:space="preserve">pour l’agent immobilier </w:t>
      </w:r>
      <w:r w:rsidR="002A7D59">
        <w:t xml:space="preserve">qui intervient en tant que </w:t>
      </w:r>
      <w:r w:rsidRPr="00BC6668">
        <w:t>régisseur :</w:t>
      </w:r>
      <w:r>
        <w:t xml:space="preserve"> </w:t>
      </w:r>
      <w:r w:rsidR="002A7D59">
        <w:t>uni</w:t>
      </w:r>
      <w:r>
        <w:t>que</w:t>
      </w:r>
      <w:r w:rsidR="002A7D59">
        <w:t>ment</w:t>
      </w:r>
      <w:r>
        <w:t xml:space="preserve"> par voie de </w:t>
      </w:r>
      <w:r w:rsidR="002A7D59">
        <w:t xml:space="preserve">virement </w:t>
      </w:r>
      <w:r w:rsidR="000E541A">
        <w:t>(transfert d’argent), par domiciliation</w:t>
      </w:r>
      <w:r>
        <w:t xml:space="preserve"> ou par chèque bancaire</w:t>
      </w:r>
      <w:r w:rsidR="002A7D59">
        <w:t>.</w:t>
      </w:r>
    </w:p>
    <w:p w14:paraId="5389C2BD" w14:textId="77777777" w:rsidR="002943F2" w:rsidRPr="00BC6668" w:rsidRDefault="002943F2" w:rsidP="00BC6668">
      <w:pPr>
        <w:ind w:left="-5"/>
        <w:rPr>
          <w:rFonts w:asciiTheme="majorHAnsi" w:hAnsiTheme="majorHAnsi"/>
        </w:rPr>
      </w:pPr>
      <w:r>
        <w:lastRenderedPageBreak/>
        <w:t>L’agent immobilier s’engage à ce que ce compte ne présente jamais de solde débiteur. L’agent ne bénéficiera</w:t>
      </w:r>
      <w:r w:rsidR="002A7D59">
        <w:t>,</w:t>
      </w:r>
      <w:r>
        <w:t xml:space="preserve"> sur ce compte</w:t>
      </w:r>
      <w:r w:rsidR="002A7D59">
        <w:t>,</w:t>
      </w:r>
      <w:r>
        <w:t xml:space="preserve"> d’aucune forme de </w:t>
      </w:r>
      <w:r w:rsidRPr="00423575">
        <w:t>crédit</w:t>
      </w:r>
      <w:r w:rsidR="00BC6668" w:rsidRPr="00423575">
        <w:t xml:space="preserve"> et</w:t>
      </w:r>
      <w:r w:rsidR="00E206B6" w:rsidRPr="00423575">
        <w:t xml:space="preserve"> </w:t>
      </w:r>
      <w:r w:rsidR="002A7D59" w:rsidRPr="00423575">
        <w:t>ce compte ne servira en aucun cas de</w:t>
      </w:r>
      <w:r w:rsidR="00BC6668" w:rsidRPr="00423575">
        <w:t xml:space="preserve"> sûreté</w:t>
      </w:r>
      <w:r w:rsidR="00BC6668" w:rsidRPr="00423575">
        <w:rPr>
          <w:rFonts w:asciiTheme="majorHAnsi" w:hAnsiTheme="majorHAnsi"/>
        </w:rPr>
        <w:t>.</w:t>
      </w:r>
    </w:p>
    <w:p w14:paraId="6700A633" w14:textId="77777777" w:rsidR="002943F2" w:rsidRDefault="002943F2">
      <w:pPr>
        <w:ind w:right="-482"/>
      </w:pPr>
      <w:r>
        <w:t xml:space="preserve">La banque ne peut être tenue pour responsable si un compte </w:t>
      </w:r>
      <w:r w:rsidR="002A7D59">
        <w:t xml:space="preserve">de </w:t>
      </w:r>
      <w:r>
        <w:t>tiers dev</w:t>
      </w:r>
      <w:r w:rsidR="002A7D59">
        <w:t>i</w:t>
      </w:r>
      <w:r>
        <w:t>ent débiteur nonobstant l’engagement pris par l’agent. En pareil cas, les intérêts débiteurs, calculés au taux en vigueur à la banque pour ce genre de débit en compte, sont inscrits au compte de l’agent</w:t>
      </w:r>
      <w:r w:rsidR="00BC6668">
        <w:t xml:space="preserve"> </w:t>
      </w:r>
      <w:r w:rsidR="00BC6668" w:rsidRPr="00423575">
        <w:t>et non au compte de tiers.</w:t>
      </w:r>
      <w:r w:rsidR="00BC6668">
        <w:t xml:space="preserve"> </w:t>
      </w:r>
    </w:p>
    <w:p w14:paraId="1EF4CEB1" w14:textId="77777777" w:rsidR="001D07C6" w:rsidRDefault="001D07C6">
      <w:pPr>
        <w:pStyle w:val="Kop6"/>
      </w:pPr>
      <w:r>
        <w:t xml:space="preserve">Article </w:t>
      </w:r>
      <w:r w:rsidR="00E206B6">
        <w:t>3</w:t>
      </w:r>
    </w:p>
    <w:p w14:paraId="30AA1FD0" w14:textId="77777777" w:rsidR="001D07C6" w:rsidRDefault="001D07C6" w:rsidP="001D07C6">
      <w:pPr>
        <w:spacing w:line="259" w:lineRule="auto"/>
      </w:pPr>
      <w:r>
        <w:t>L’agent immobilier s’engage, s</w:t>
      </w:r>
      <w:r w:rsidRPr="00843425">
        <w:t xml:space="preserve">auf circonstances exceptionnelles ou, en ce qui concerne l'agent immobilier régisseur, sauf convention contraire, </w:t>
      </w:r>
      <w:r>
        <w:t xml:space="preserve">à </w:t>
      </w:r>
      <w:r w:rsidR="005A2D4C">
        <w:t xml:space="preserve">reverser </w:t>
      </w:r>
      <w:r w:rsidR="00E206B6">
        <w:t>les fonds de tiers</w:t>
      </w:r>
      <w:r w:rsidRPr="00843425">
        <w:t xml:space="preserve"> à l'ayant-droit dans les plus brefs délais.</w:t>
      </w:r>
    </w:p>
    <w:p w14:paraId="09933B4B" w14:textId="77777777" w:rsidR="001D07C6" w:rsidRDefault="001D07C6" w:rsidP="001D07C6">
      <w:pPr>
        <w:spacing w:line="259" w:lineRule="auto"/>
      </w:pPr>
      <w:r w:rsidRPr="00843425">
        <w:t>Si, pour des motifs fondés, l'agent immobilier ne peut transférer les fonds à l'ayant-droit dans les quatre mois de leur réception, il les verse sur un compte rubriqué.</w:t>
      </w:r>
      <w:r>
        <w:t xml:space="preserve"> Ce dernier point</w:t>
      </w:r>
      <w:r w:rsidRPr="00843425">
        <w:t xml:space="preserve"> n'est pas d'application </w:t>
      </w:r>
      <w:r w:rsidR="00416316">
        <w:t>si</w:t>
      </w:r>
      <w:r w:rsidRPr="00843425">
        <w:t xml:space="preserve"> le total des </w:t>
      </w:r>
      <w:r w:rsidR="005A2D4C">
        <w:t xml:space="preserve">montants </w:t>
      </w:r>
      <w:r w:rsidRPr="00843425">
        <w:t>reçus soit pour le compte d'une même personne, soit à l'occasion d'une même opération, soit par dossier, n'excède pas 2500 euros</w:t>
      </w:r>
      <w:r w:rsidR="00F67DF2">
        <w:t xml:space="preserve"> </w:t>
      </w:r>
      <w:r w:rsidR="005A2D4C">
        <w:t xml:space="preserve">(ou un montant à déterminer par le Roi) </w:t>
      </w:r>
      <w:r w:rsidR="00F67DF2">
        <w:t>(cf. art. 21/2, §4, de la loi du 11 février 2013 organisant la profession d’agent immobilier)</w:t>
      </w:r>
      <w:r w:rsidRPr="00843425">
        <w:t>.</w:t>
      </w:r>
    </w:p>
    <w:p w14:paraId="70565FB8" w14:textId="77777777" w:rsidR="00F67DF2" w:rsidRPr="001D07C6" w:rsidRDefault="00F67DF2" w:rsidP="001D07C6">
      <w:pPr>
        <w:spacing w:line="259" w:lineRule="auto"/>
      </w:pPr>
      <w:r w:rsidRPr="00843425">
        <w:t xml:space="preserve">L'agent immobilier </w:t>
      </w:r>
      <w:r>
        <w:t xml:space="preserve">s’engage à </w:t>
      </w:r>
      <w:r w:rsidRPr="00843425">
        <w:t>verse</w:t>
      </w:r>
      <w:r>
        <w:t>r</w:t>
      </w:r>
      <w:r w:rsidRPr="00843425">
        <w:t xml:space="preserve"> dans la Caisse des dépôts et consign</w:t>
      </w:r>
      <w:r>
        <w:t>ations l'intégralité des sommes –</w:t>
      </w:r>
      <w:r w:rsidRPr="00843425">
        <w:t xml:space="preserve"> quel</w:t>
      </w:r>
      <w:r w:rsidR="001B1A3C">
        <w:t xml:space="preserve"> qu’en</w:t>
      </w:r>
      <w:r>
        <w:t xml:space="preserve"> soit le montant</w:t>
      </w:r>
      <w:r w:rsidR="001B1A3C">
        <w:t xml:space="preserve"> –</w:t>
      </w:r>
      <w:r>
        <w:t xml:space="preserve"> qui</w:t>
      </w:r>
      <w:r w:rsidR="001B1A3C">
        <w:t xml:space="preserve"> n'ont</w:t>
      </w:r>
      <w:r>
        <w:t xml:space="preserve"> pas été réclamé</w:t>
      </w:r>
      <w:r w:rsidR="001B1A3C">
        <w:t>es</w:t>
      </w:r>
      <w:r>
        <w:t xml:space="preserve"> par l'ayant droit ou</w:t>
      </w:r>
      <w:r w:rsidR="00A67DD2">
        <w:t xml:space="preserve"> ne lui ont</w:t>
      </w:r>
      <w:r>
        <w:t xml:space="preserve"> pas été </w:t>
      </w:r>
      <w:r w:rsidR="005A2D4C">
        <w:t xml:space="preserve">transmises </w:t>
      </w:r>
      <w:r w:rsidRPr="00843425">
        <w:t xml:space="preserve">dans les deux ans suivant la clôture du dossier dans le cadre duquel elles ont été </w:t>
      </w:r>
      <w:r w:rsidR="00A67DD2">
        <w:t>reçues par l'agent immobilier. C</w:t>
      </w:r>
      <w:r w:rsidRPr="00843425">
        <w:t>e délai est suspendu tant que ces sommes font l'objet d'une procédure judiciaire.</w:t>
      </w:r>
    </w:p>
    <w:p w14:paraId="3CA30DE1" w14:textId="77777777" w:rsidR="002943F2" w:rsidRDefault="002943F2">
      <w:pPr>
        <w:pStyle w:val="Kop6"/>
      </w:pPr>
      <w:r>
        <w:t xml:space="preserve">Article </w:t>
      </w:r>
      <w:r w:rsidR="00E206B6">
        <w:t>4</w:t>
      </w:r>
    </w:p>
    <w:p w14:paraId="56584A47" w14:textId="77777777" w:rsidR="00C52DE3" w:rsidRDefault="002943F2" w:rsidP="00637881">
      <w:pPr>
        <w:pStyle w:val="Plattetekst"/>
        <w:spacing w:after="120"/>
      </w:pPr>
      <w:r>
        <w:t xml:space="preserve">La banque renonce à invoquer toute </w:t>
      </w:r>
      <w:r w:rsidR="00AE672D">
        <w:t xml:space="preserve">forme de </w:t>
      </w:r>
      <w:r>
        <w:t xml:space="preserve">compensation, fusion ou unicité </w:t>
      </w:r>
      <w:r w:rsidR="00E206B6">
        <w:t xml:space="preserve">de compte </w:t>
      </w:r>
      <w:r>
        <w:t xml:space="preserve">entre </w:t>
      </w:r>
      <w:r w:rsidR="00E206B6">
        <w:t>le</w:t>
      </w:r>
      <w:r>
        <w:t xml:space="preserve"> compte de </w:t>
      </w:r>
      <w:r w:rsidR="00E206B6">
        <w:t xml:space="preserve">qualité </w:t>
      </w:r>
      <w:r>
        <w:t xml:space="preserve">et </w:t>
      </w:r>
      <w:r w:rsidR="00E206B6">
        <w:t>les</w:t>
      </w:r>
      <w:r w:rsidR="0079551E">
        <w:t xml:space="preserve"> </w:t>
      </w:r>
      <w:r>
        <w:t>autres compte de l’agent.</w:t>
      </w:r>
      <w:r w:rsidR="00536E6C">
        <w:t xml:space="preserve"> </w:t>
      </w:r>
      <w:r w:rsidR="00C52DE3">
        <w:t xml:space="preserve">Aucune convention de </w:t>
      </w:r>
      <w:proofErr w:type="spellStart"/>
      <w:r w:rsidR="00C52DE3">
        <w:t>netting</w:t>
      </w:r>
      <w:proofErr w:type="spellEnd"/>
      <w:r w:rsidR="00C52DE3">
        <w:t xml:space="preserve"> ne peut s’appliquer à ces comptes.</w:t>
      </w:r>
    </w:p>
    <w:p w14:paraId="142661F5" w14:textId="77777777" w:rsidR="002943F2" w:rsidRDefault="002943F2">
      <w:pPr>
        <w:ind w:right="-482"/>
      </w:pPr>
      <w:r>
        <w:t>La banque s’engage à ne pas accepter le compte de tiers en garantie d’un quelconque crédit.</w:t>
      </w:r>
    </w:p>
    <w:p w14:paraId="1F88B784" w14:textId="77777777" w:rsidR="002943F2" w:rsidRDefault="002943F2" w:rsidP="00637881">
      <w:pPr>
        <w:pStyle w:val="Kop6"/>
        <w:tabs>
          <w:tab w:val="right" w:pos="9279"/>
        </w:tabs>
      </w:pPr>
      <w:r>
        <w:t xml:space="preserve">Article </w:t>
      </w:r>
      <w:r w:rsidR="00E206B6">
        <w:t>5</w:t>
      </w:r>
    </w:p>
    <w:p w14:paraId="5AF50FAE" w14:textId="77777777" w:rsidR="002943F2" w:rsidRDefault="002943F2">
      <w:pPr>
        <w:ind w:right="-482"/>
      </w:pPr>
      <w:r>
        <w:t xml:space="preserve">L’agent autorise irrévocablement la banque, qui accepte, </w:t>
      </w:r>
      <w:r w:rsidR="0079551E">
        <w:t xml:space="preserve">à </w:t>
      </w:r>
      <w:r>
        <w:t xml:space="preserve">informer </w:t>
      </w:r>
      <w:r w:rsidR="004613D1">
        <w:t>l’assesseur juridique</w:t>
      </w:r>
      <w:r>
        <w:t xml:space="preserve"> de </w:t>
      </w:r>
      <w:smartTag w:uri="urn:schemas-microsoft-com:office:smarttags" w:element="PersonName">
        <w:smartTagPr>
          <w:attr w:name="ProductID" w:val="la Chambre"/>
        </w:smartTagPr>
        <w:r>
          <w:t>la Chambre</w:t>
        </w:r>
      </w:smartTag>
      <w:r>
        <w:t xml:space="preserve"> exécutive concernée de l’IPI dont il dépend</w:t>
      </w:r>
      <w:r w:rsidR="004613D1">
        <w:t>, sur demande de cet assesseur,</w:t>
      </w:r>
      <w:r>
        <w:t xml:space="preserve"> de la survenance éventuelle d’une saisie sur son compte de tiers.</w:t>
      </w:r>
    </w:p>
    <w:p w14:paraId="0667600E" w14:textId="77777777" w:rsidR="002943F2" w:rsidRDefault="002943F2">
      <w:pPr>
        <w:pStyle w:val="Kop6"/>
      </w:pPr>
      <w:r>
        <w:t xml:space="preserve">Article </w:t>
      </w:r>
      <w:r w:rsidR="00E206B6">
        <w:t>6</w:t>
      </w:r>
    </w:p>
    <w:p w14:paraId="46DCA465" w14:textId="77777777" w:rsidR="002943F2" w:rsidRDefault="002943F2">
      <w:pPr>
        <w:ind w:right="-482"/>
      </w:pPr>
      <w:r>
        <w:t xml:space="preserve">L’agent autorise irrévocablement la banque à transmettre </w:t>
      </w:r>
      <w:r w:rsidR="004613D1">
        <w:t>à l’assesseur juridique</w:t>
      </w:r>
      <w:r>
        <w:t xml:space="preserve"> de </w:t>
      </w:r>
      <w:smartTag w:uri="urn:schemas-microsoft-com:office:smarttags" w:element="PersonName">
        <w:smartTagPr>
          <w:attr w:name="ProductID" w:val="la Chambre"/>
        </w:smartTagPr>
        <w:r>
          <w:t>la Chambre</w:t>
        </w:r>
      </w:smartTag>
      <w:r>
        <w:t xml:space="preserve"> exécutive concernée de l’IPI dont il dépend, </w:t>
      </w:r>
      <w:r w:rsidR="004613D1" w:rsidRPr="00423575">
        <w:t>sur demande de cet assesseur</w:t>
      </w:r>
      <w:r w:rsidR="004613D1">
        <w:t>, communication et copie de toutes les opérations qui ont eu lieu sur le</w:t>
      </w:r>
      <w:r>
        <w:t xml:space="preserve"> compte de</w:t>
      </w:r>
      <w:r w:rsidR="00536E6C">
        <w:t xml:space="preserve"> </w:t>
      </w:r>
      <w:r w:rsidR="00E206B6">
        <w:t>qualité</w:t>
      </w:r>
      <w:r>
        <w:t>.</w:t>
      </w:r>
    </w:p>
    <w:p w14:paraId="199B9015" w14:textId="77777777" w:rsidR="002943F2" w:rsidRDefault="002943F2">
      <w:pPr>
        <w:pStyle w:val="Kop6"/>
      </w:pPr>
      <w:r>
        <w:lastRenderedPageBreak/>
        <w:t xml:space="preserve">Article </w:t>
      </w:r>
      <w:r w:rsidR="00E206B6">
        <w:t>7</w:t>
      </w:r>
    </w:p>
    <w:p w14:paraId="7FF343DA" w14:textId="77777777" w:rsidR="002943F2" w:rsidRDefault="00BC6668">
      <w:pPr>
        <w:ind w:right="-482"/>
      </w:pPr>
      <w:r w:rsidRPr="00BC6668">
        <w:t xml:space="preserve">Les conditions générales de </w:t>
      </w:r>
      <w:r w:rsidR="006525EB">
        <w:t xml:space="preserve">la banque </w:t>
      </w:r>
      <w:r w:rsidRPr="00BC6668">
        <w:t xml:space="preserve">relatives aux comptes </w:t>
      </w:r>
      <w:r w:rsidR="000C36FA">
        <w:t xml:space="preserve">sont </w:t>
      </w:r>
      <w:r w:rsidR="002943F2">
        <w:t>d’application dans la mesure où il n’y est pas expressément dérogé dans la présente convention.</w:t>
      </w:r>
    </w:p>
    <w:p w14:paraId="327EF450" w14:textId="77777777" w:rsidR="002943F2" w:rsidRDefault="002943F2">
      <w:pPr>
        <w:pStyle w:val="Kop6"/>
      </w:pPr>
      <w:r w:rsidRPr="00B5689D">
        <w:t xml:space="preserve">Article </w:t>
      </w:r>
      <w:r w:rsidR="000C36FA" w:rsidRPr="00B5689D">
        <w:t>8</w:t>
      </w:r>
    </w:p>
    <w:p w14:paraId="4B6F6D1D" w14:textId="77777777" w:rsidR="002943F2" w:rsidRDefault="002943F2">
      <w:pPr>
        <w:ind w:right="-482"/>
      </w:pPr>
      <w:r>
        <w:t xml:space="preserve">Les </w:t>
      </w:r>
      <w:r w:rsidR="00C52DE3">
        <w:t xml:space="preserve">éventuels </w:t>
      </w:r>
      <w:r>
        <w:t xml:space="preserve">intérêts créditeurs, </w:t>
      </w:r>
      <w:r w:rsidR="00B5689D">
        <w:t>diminués</w:t>
      </w:r>
      <w:r>
        <w:t xml:space="preserve"> des impôts </w:t>
      </w:r>
      <w:r w:rsidR="00B5689D">
        <w:t xml:space="preserve">y </w:t>
      </w:r>
      <w:r>
        <w:t>afférents, sont acquis à la partie ayant droit à la somme principale</w:t>
      </w:r>
      <w:r w:rsidR="004613D1">
        <w:t>, sans préjudice d’une décision de justice ou de conventions particulières nouées entre les parties intéressées</w:t>
      </w:r>
      <w:r w:rsidR="000C36FA">
        <w:t xml:space="preserve"> </w:t>
      </w:r>
      <w:r w:rsidR="000C36FA" w:rsidRPr="00423575">
        <w:t>(</w:t>
      </w:r>
      <w:r w:rsidR="00B5689D" w:rsidRPr="00423575">
        <w:t>étant entendu que l’agent immobilier doit y veiller lui-même et que la banque ne porte aucune responsabilité en la matière</w:t>
      </w:r>
      <w:r w:rsidR="00423575">
        <w:t>)</w:t>
      </w:r>
      <w:r w:rsidRPr="00423575">
        <w:t>.</w:t>
      </w:r>
    </w:p>
    <w:p w14:paraId="0CB9D964" w14:textId="77777777" w:rsidR="002943F2" w:rsidRDefault="002943F2">
      <w:pPr>
        <w:ind w:right="-482"/>
      </w:pPr>
      <w:r>
        <w:t xml:space="preserve">Les frais de port et de mise à disposition du courrier ainsi que les frais de tenue du compte sont portés au débit </w:t>
      </w:r>
      <w:r w:rsidR="000C36FA">
        <w:t>du compte de l’agent immobilier</w:t>
      </w:r>
      <w:r>
        <w:t>.</w:t>
      </w:r>
    </w:p>
    <w:p w14:paraId="50D57B5D" w14:textId="77777777" w:rsidR="002943F2" w:rsidRDefault="002943F2">
      <w:pPr>
        <w:ind w:right="-482"/>
      </w:pPr>
      <w:r>
        <w:t xml:space="preserve">La rémunération des autres services qui seraient demandés par l’agent est soumise aux tarifs habituels et portée au débit du compte de </w:t>
      </w:r>
      <w:r w:rsidR="00B5689D">
        <w:t xml:space="preserve">cet </w:t>
      </w:r>
      <w:r>
        <w:t>agent.</w:t>
      </w:r>
    </w:p>
    <w:p w14:paraId="28EA74CE" w14:textId="77777777" w:rsidR="00AE3C34" w:rsidRPr="00423575" w:rsidRDefault="00C7034E" w:rsidP="00AE3C34">
      <w:pPr>
        <w:pStyle w:val="Kop6"/>
      </w:pPr>
      <w:r w:rsidRPr="00423575">
        <w:t>Article 9</w:t>
      </w:r>
    </w:p>
    <w:p w14:paraId="458FCA64" w14:textId="77777777" w:rsidR="00AE3C34" w:rsidRPr="00423575" w:rsidRDefault="00057794">
      <w:pPr>
        <w:pStyle w:val="Kop6"/>
        <w:rPr>
          <w:b w:val="0"/>
        </w:rPr>
      </w:pPr>
      <w:r w:rsidRPr="00423575">
        <w:rPr>
          <w:b w:val="0"/>
        </w:rPr>
        <w:t xml:space="preserve">La banque n’exerce aucun contrôle sur et n’est pas responsable du respect par l’agent immobilier de ses obligations légales et déontologiques concernant le compte de qualité, ni concernant l’affectation spécifique qui est donnée au compte de tiers. </w:t>
      </w:r>
    </w:p>
    <w:p w14:paraId="38544A13" w14:textId="77777777" w:rsidR="002943F2" w:rsidRDefault="002943F2">
      <w:pPr>
        <w:pStyle w:val="Kop6"/>
      </w:pPr>
      <w:r>
        <w:t xml:space="preserve">Article </w:t>
      </w:r>
      <w:r w:rsidR="00AE3C34">
        <w:t>10</w:t>
      </w:r>
    </w:p>
    <w:p w14:paraId="14AA9C63" w14:textId="77777777" w:rsidR="00AE3C34" w:rsidRDefault="002943F2" w:rsidP="00AE3C34">
      <w:pPr>
        <w:ind w:left="-5"/>
        <w:rPr>
          <w:rFonts w:asciiTheme="majorHAnsi" w:hAnsiTheme="majorHAnsi"/>
        </w:rPr>
      </w:pPr>
      <w:r>
        <w:t>La présente convention est conclue pour une durée indéterminée.</w:t>
      </w:r>
      <w:r>
        <w:br/>
      </w:r>
    </w:p>
    <w:p w14:paraId="703E4180" w14:textId="77777777" w:rsidR="00BB6C11" w:rsidRPr="00BB6C11" w:rsidRDefault="00BB6C11" w:rsidP="00AE3C34">
      <w:pPr>
        <w:ind w:left="-5"/>
      </w:pPr>
      <w:r w:rsidRPr="00BB6C11">
        <w:t>Elle prend cours à la date indiquée ci-dessous.</w:t>
      </w:r>
    </w:p>
    <w:p w14:paraId="1F63CCE7" w14:textId="77777777" w:rsidR="00BB6C11" w:rsidRPr="00BB6C11" w:rsidRDefault="00BB6C11" w:rsidP="00AE3C34">
      <w:pPr>
        <w:ind w:left="-5"/>
      </w:pPr>
      <w:r w:rsidRPr="00BB6C11">
        <w:t>Elle peut être résiliée :</w:t>
      </w:r>
    </w:p>
    <w:p w14:paraId="52B88811" w14:textId="77777777" w:rsidR="00BB6C11" w:rsidRPr="00BB6C11" w:rsidRDefault="00BB6C11" w:rsidP="00AE3C34">
      <w:pPr>
        <w:ind w:left="-5"/>
      </w:pPr>
      <w:r w:rsidRPr="00BB6C11">
        <w:t>(1)</w:t>
      </w:r>
      <w:r>
        <w:t xml:space="preserve"> </w:t>
      </w:r>
      <w:r w:rsidRPr="00BB6C11">
        <w:t xml:space="preserve"> par un accord commun entre les parties</w:t>
      </w:r>
      <w:r w:rsidR="00057794">
        <w:t>,</w:t>
      </w:r>
    </w:p>
    <w:p w14:paraId="0C48DF54" w14:textId="77777777" w:rsidR="00BB6C11" w:rsidRDefault="00BB6C11" w:rsidP="00AE3C34">
      <w:pPr>
        <w:ind w:left="-5"/>
      </w:pPr>
      <w:r w:rsidRPr="00423575">
        <w:t xml:space="preserve">(2)  par chacune des parties moyennant </w:t>
      </w:r>
      <w:r w:rsidR="00057794" w:rsidRPr="00423575">
        <w:t>le respect d’un délai de</w:t>
      </w:r>
      <w:r w:rsidRPr="00423575">
        <w:t xml:space="preserve"> préavis de … mois, notifié par lettre recommandée à la poste, </w:t>
      </w:r>
      <w:r w:rsidR="00057794">
        <w:t>sans préjudice du droit de l’autre partie de</w:t>
      </w:r>
      <w:r w:rsidR="0074709B">
        <w:t xml:space="preserve"> renoncer au délai de préavis ou à la notification par lettre recommandée.</w:t>
      </w:r>
    </w:p>
    <w:p w14:paraId="62AC4340" w14:textId="77777777" w:rsidR="00C86FDC" w:rsidRPr="00423575" w:rsidRDefault="00C86FDC" w:rsidP="00AE3C34">
      <w:pPr>
        <w:ind w:left="-5"/>
      </w:pPr>
      <w:r>
        <w:t>(3)  par la banque conformément ses conditions générales.</w:t>
      </w:r>
    </w:p>
    <w:p w14:paraId="6BB4C084" w14:textId="77777777" w:rsidR="002943F2" w:rsidRDefault="002943F2" w:rsidP="00637881">
      <w:pPr>
        <w:ind w:right="-482"/>
      </w:pPr>
      <w:r>
        <w:t xml:space="preserve">L’agent </w:t>
      </w:r>
      <w:r w:rsidR="0074709B">
        <w:t xml:space="preserve">immobilier </w:t>
      </w:r>
      <w:r>
        <w:t>donne mandat irrévocable à la banque, qui accepte, d’</w:t>
      </w:r>
      <w:smartTag w:uri="urn:schemas-microsoft-com:office:smarttags" w:element="PersonName">
        <w:r>
          <w:t>info</w:t>
        </w:r>
      </w:smartTag>
      <w:r>
        <w:t>rmer</w:t>
      </w:r>
      <w:r w:rsidR="004613D1">
        <w:t xml:space="preserve"> l’assesseur juridique de</w:t>
      </w:r>
      <w:r>
        <w:t xml:space="preserve"> </w:t>
      </w:r>
      <w:smartTag w:uri="urn:schemas-microsoft-com:office:smarttags" w:element="PersonName">
        <w:smartTagPr>
          <w:attr w:name="ProductID" w:val="la Chambre"/>
        </w:smartTagPr>
        <w:r>
          <w:t>la Chambre</w:t>
        </w:r>
      </w:smartTag>
      <w:r>
        <w:t xml:space="preserve"> exécutive de l’IPI dont il dépend du préavis notifié.</w:t>
      </w:r>
    </w:p>
    <w:p w14:paraId="104A7234" w14:textId="77777777" w:rsidR="002943F2" w:rsidRDefault="002943F2" w:rsidP="00637881">
      <w:pPr>
        <w:ind w:right="-482"/>
      </w:pPr>
      <w:r>
        <w:t>Fait à ………………………………………………………………………, le ……………………………………………………, en deux originaux, dont chaque partie reconnaît avoir reçu l’un.</w:t>
      </w:r>
    </w:p>
    <w:p w14:paraId="130BFE40" w14:textId="77777777" w:rsidR="002943F2" w:rsidRDefault="002943F2">
      <w:pPr>
        <w:ind w:right="-482"/>
      </w:pPr>
    </w:p>
    <w:p w14:paraId="4E258A0E" w14:textId="77777777" w:rsidR="00680C00" w:rsidRDefault="002943F2">
      <w:pPr>
        <w:ind w:right="-482"/>
      </w:pPr>
      <w:r>
        <w:t>Agent</w:t>
      </w:r>
      <w:r w:rsidR="0074709B">
        <w:t xml:space="preserve"> immobilier</w:t>
      </w:r>
      <w:r>
        <w:tab/>
      </w:r>
      <w:r>
        <w:tab/>
      </w:r>
      <w:r>
        <w:tab/>
        <w:t>Banque</w:t>
      </w:r>
      <w:r w:rsidR="00680C00">
        <w:br w:type="page"/>
      </w:r>
    </w:p>
    <w:p w14:paraId="112E2CC1" w14:textId="77777777" w:rsidR="002943F2" w:rsidRPr="00680C00" w:rsidRDefault="00680C00">
      <w:pPr>
        <w:ind w:right="-482"/>
        <w:rPr>
          <w:b/>
        </w:rPr>
      </w:pPr>
      <w:r w:rsidRPr="00680C00">
        <w:rPr>
          <w:b/>
          <w:u w:val="single"/>
        </w:rPr>
        <w:lastRenderedPageBreak/>
        <w:t>P</w:t>
      </w:r>
      <w:bookmarkStart w:id="0" w:name="_GoBack"/>
      <w:bookmarkEnd w:id="0"/>
      <w:r w:rsidRPr="00680C00">
        <w:rPr>
          <w:b/>
          <w:u w:val="single"/>
        </w:rPr>
        <w:t>rocuration</w:t>
      </w:r>
    </w:p>
    <w:p w14:paraId="3377B0A5" w14:textId="77777777" w:rsidR="00680C00" w:rsidRDefault="00680C00">
      <w:pPr>
        <w:ind w:right="-482"/>
      </w:pPr>
      <w:r>
        <w:t>Concerne compte de tiers n° ……………………………………………….</w:t>
      </w:r>
    </w:p>
    <w:p w14:paraId="11C07D31" w14:textId="77777777" w:rsidR="00680C00" w:rsidRDefault="00680C00">
      <w:pPr>
        <w:ind w:right="-482"/>
      </w:pPr>
      <w:r>
        <w:t>Le(s) soussigné(s), ………………………………………………………………………………….. (membre(s) IPI n°(s)………………………………………………………………………………</w:t>
      </w:r>
      <w:r w:rsidR="00C43541">
        <w:t>)</w:t>
      </w:r>
    </w:p>
    <w:p w14:paraId="208F6CB6" w14:textId="77777777" w:rsidR="00680C00" w:rsidRDefault="00680C00" w:rsidP="00680C00">
      <w:pPr>
        <w:pStyle w:val="Lijstalinea"/>
        <w:numPr>
          <w:ilvl w:val="0"/>
          <w:numId w:val="3"/>
        </w:numPr>
        <w:ind w:right="-482"/>
      </w:pPr>
      <w:r>
        <w:t>autorise</w:t>
      </w:r>
      <w:r w:rsidR="006C47CD">
        <w:t>(nt)</w:t>
      </w:r>
      <w:r>
        <w:t xml:space="preserve"> irrévocablement par la présente la banque</w:t>
      </w:r>
      <w:r w:rsidR="008C260B">
        <w:t xml:space="preserve"> à </w:t>
      </w:r>
      <w:smartTag w:uri="urn:schemas-microsoft-com:office:smarttags" w:element="PersonName">
        <w:r>
          <w:t>info</w:t>
        </w:r>
      </w:smartTag>
      <w:r>
        <w:t xml:space="preserve">rmer l’assesseur juridique de </w:t>
      </w:r>
      <w:smartTag w:uri="urn:schemas-microsoft-com:office:smarttags" w:element="PersonName">
        <w:smartTagPr>
          <w:attr w:name="ProductID" w:val="la Chambre"/>
        </w:smartTagPr>
        <w:r>
          <w:t>la Chambre</w:t>
        </w:r>
      </w:smartTag>
      <w:r>
        <w:t xml:space="preserve"> exécutive concernée de l’I</w:t>
      </w:r>
      <w:r w:rsidR="00C43541">
        <w:t>nstitut professionnel des agents immobiliers</w:t>
      </w:r>
      <w:r>
        <w:t xml:space="preserve"> dont il</w:t>
      </w:r>
      <w:r w:rsidR="006C47CD">
        <w:t>(s)</w:t>
      </w:r>
      <w:r>
        <w:t xml:space="preserve"> dépend</w:t>
      </w:r>
      <w:r w:rsidR="006C47CD">
        <w:t>(</w:t>
      </w:r>
      <w:proofErr w:type="spellStart"/>
      <w:r w:rsidR="006C47CD">
        <w:t>ent</w:t>
      </w:r>
      <w:proofErr w:type="spellEnd"/>
      <w:r w:rsidR="006C47CD">
        <w:t>)</w:t>
      </w:r>
      <w:r>
        <w:t xml:space="preserve"> de la survenance éventuelle d’une saisie sur son </w:t>
      </w:r>
      <w:r w:rsidR="006C47CD">
        <w:t xml:space="preserve">(leur) </w:t>
      </w:r>
      <w:r>
        <w:t xml:space="preserve">compte de </w:t>
      </w:r>
      <w:r w:rsidR="005A5F4C">
        <w:t>tiers</w:t>
      </w:r>
      <w:r>
        <w:t>;</w:t>
      </w:r>
    </w:p>
    <w:p w14:paraId="394A4687" w14:textId="77777777" w:rsidR="00680C00" w:rsidRDefault="00680C00" w:rsidP="00680C00">
      <w:pPr>
        <w:pStyle w:val="Lijstalinea"/>
        <w:ind w:right="-482"/>
      </w:pPr>
    </w:p>
    <w:p w14:paraId="71807CA9" w14:textId="77777777" w:rsidR="00680C00" w:rsidRDefault="00680C00" w:rsidP="00680C00">
      <w:pPr>
        <w:pStyle w:val="Lijstalinea"/>
        <w:numPr>
          <w:ilvl w:val="0"/>
          <w:numId w:val="3"/>
        </w:numPr>
        <w:ind w:right="-482"/>
      </w:pPr>
      <w:r>
        <w:t>autorise</w:t>
      </w:r>
      <w:r w:rsidR="006C47CD">
        <w:t>(nt)</w:t>
      </w:r>
      <w:r>
        <w:t xml:space="preserve"> irrévocablement la banque à transmettre à l’assesseur juridique de </w:t>
      </w:r>
      <w:smartTag w:uri="urn:schemas-microsoft-com:office:smarttags" w:element="PersonName">
        <w:smartTagPr>
          <w:attr w:name="ProductID" w:val="la Chambre"/>
        </w:smartTagPr>
        <w:r>
          <w:t>la Chambre</w:t>
        </w:r>
      </w:smartTag>
      <w:r>
        <w:t xml:space="preserve"> exécutive concernée de l’I</w:t>
      </w:r>
      <w:r w:rsidR="001F5C28">
        <w:t>nstitut professionnel des agents immobiliers</w:t>
      </w:r>
      <w:r>
        <w:t xml:space="preserve"> dont il</w:t>
      </w:r>
      <w:r w:rsidR="006C47CD">
        <w:t>(s)</w:t>
      </w:r>
      <w:r>
        <w:t xml:space="preserve"> dépend</w:t>
      </w:r>
      <w:r w:rsidR="006C47CD">
        <w:t>(</w:t>
      </w:r>
      <w:proofErr w:type="spellStart"/>
      <w:r w:rsidR="006C47CD">
        <w:t>ent</w:t>
      </w:r>
      <w:proofErr w:type="spellEnd"/>
      <w:r w:rsidR="006C47CD">
        <w:t>)</w:t>
      </w:r>
      <w:r>
        <w:t xml:space="preserve">, sur demande de cet assesseur, communication et copie de toutes les opérations qui ont eu lieu sur le compte de </w:t>
      </w:r>
      <w:r w:rsidR="005A5F4C">
        <w:t>tiers</w:t>
      </w:r>
      <w:r>
        <w:t>;</w:t>
      </w:r>
    </w:p>
    <w:p w14:paraId="693B5481" w14:textId="77777777" w:rsidR="00680C00" w:rsidRDefault="00680C00" w:rsidP="00680C00">
      <w:pPr>
        <w:pStyle w:val="Lijstalinea"/>
      </w:pPr>
    </w:p>
    <w:p w14:paraId="2425D579" w14:textId="77777777" w:rsidR="00680C00" w:rsidRDefault="00FB4BEA" w:rsidP="00680C00">
      <w:pPr>
        <w:pStyle w:val="Lijstalinea"/>
        <w:numPr>
          <w:ilvl w:val="0"/>
          <w:numId w:val="3"/>
        </w:numPr>
        <w:ind w:right="-482"/>
      </w:pPr>
      <w:r>
        <w:t>donne(nt) irrévo</w:t>
      </w:r>
      <w:r w:rsidR="008C260B">
        <w:t>cablement mandat à la banque, qui accepte,</w:t>
      </w:r>
      <w:r w:rsidR="008C260B" w:rsidRPr="008C260B">
        <w:t xml:space="preserve"> </w:t>
      </w:r>
      <w:r w:rsidR="008C260B">
        <w:t xml:space="preserve">pour </w:t>
      </w:r>
      <w:smartTag w:uri="urn:schemas-microsoft-com:office:smarttags" w:element="PersonName">
        <w:r w:rsidR="008C260B">
          <w:t>info</w:t>
        </w:r>
      </w:smartTag>
      <w:r w:rsidR="008C260B">
        <w:t xml:space="preserve">rmer l’assesseur juridique de </w:t>
      </w:r>
      <w:smartTag w:uri="urn:schemas-microsoft-com:office:smarttags" w:element="PersonName">
        <w:smartTagPr>
          <w:attr w:name="ProductID" w:val="la Chambre"/>
        </w:smartTagPr>
        <w:r w:rsidR="008C260B">
          <w:t>la Chambre</w:t>
        </w:r>
      </w:smartTag>
      <w:r w:rsidR="008C260B">
        <w:t xml:space="preserve"> exécutive concernée de l’I</w:t>
      </w:r>
      <w:r w:rsidR="001F5C28">
        <w:t>nstitut professionnel des agents immobiliers</w:t>
      </w:r>
      <w:r w:rsidR="008C260B">
        <w:t xml:space="preserve"> dont il(s) dépend(</w:t>
      </w:r>
      <w:proofErr w:type="spellStart"/>
      <w:r w:rsidR="008C260B">
        <w:t>ent</w:t>
      </w:r>
      <w:proofErr w:type="spellEnd"/>
      <w:r w:rsidR="008C260B">
        <w:t xml:space="preserve">) de toute </w:t>
      </w:r>
      <w:r w:rsidR="00A24CB0">
        <w:t xml:space="preserve">notification de </w:t>
      </w:r>
      <w:r w:rsidR="008C260B">
        <w:t>résiliation du compte de tiers.</w:t>
      </w:r>
    </w:p>
    <w:p w14:paraId="5A7B390E" w14:textId="77777777" w:rsidR="00817BB2" w:rsidRDefault="00817BB2" w:rsidP="00817BB2">
      <w:pPr>
        <w:ind w:left="360" w:right="-482"/>
      </w:pPr>
    </w:p>
    <w:p w14:paraId="4448AD78" w14:textId="77777777" w:rsidR="00817BB2" w:rsidRDefault="00817BB2" w:rsidP="00817BB2">
      <w:pPr>
        <w:ind w:left="360" w:right="-482"/>
      </w:pPr>
    </w:p>
    <w:p w14:paraId="3333B733" w14:textId="77777777" w:rsidR="00817BB2" w:rsidRDefault="00817BB2" w:rsidP="00817BB2">
      <w:pPr>
        <w:ind w:left="360" w:right="-482"/>
      </w:pPr>
      <w:r>
        <w:t>Fait à ………………………………………………………………………………., le ………………………………………..</w:t>
      </w:r>
    </w:p>
    <w:p w14:paraId="6207FADD" w14:textId="77777777" w:rsidR="00817BB2" w:rsidRDefault="00817BB2" w:rsidP="00817BB2">
      <w:pPr>
        <w:ind w:left="360" w:right="-482"/>
      </w:pPr>
    </w:p>
    <w:p w14:paraId="672FDA3B" w14:textId="77777777" w:rsidR="00817BB2" w:rsidRDefault="00817BB2" w:rsidP="00817BB2">
      <w:pPr>
        <w:ind w:left="360" w:right="-482"/>
      </w:pPr>
    </w:p>
    <w:p w14:paraId="31D4037E" w14:textId="77777777" w:rsidR="00817BB2" w:rsidRDefault="00817BB2" w:rsidP="00817BB2">
      <w:pPr>
        <w:ind w:left="360" w:right="-482"/>
      </w:pPr>
    </w:p>
    <w:p w14:paraId="2D96CE7E" w14:textId="77777777" w:rsidR="00817BB2" w:rsidRDefault="00817BB2" w:rsidP="00817BB2">
      <w:pPr>
        <w:ind w:left="360" w:right="-482"/>
      </w:pPr>
      <w:r>
        <w:t>L’(les) agent(s) immobilier(s)</w:t>
      </w:r>
    </w:p>
    <w:p w14:paraId="0D7C89D3" w14:textId="77777777" w:rsidR="00817BB2" w:rsidRPr="00680C00" w:rsidRDefault="00817BB2" w:rsidP="00817BB2">
      <w:pPr>
        <w:ind w:right="-482"/>
      </w:pPr>
    </w:p>
    <w:sectPr w:rsidR="00817BB2" w:rsidRPr="00680C00">
      <w:headerReference w:type="default" r:id="rId7"/>
      <w:pgSz w:w="11907" w:h="16840"/>
      <w:pgMar w:top="850" w:right="1411" w:bottom="1296" w:left="1699" w:header="850" w:footer="288" w:gutter="0"/>
      <w:paperSrc w:first="256" w:other="25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29A6" w14:textId="77777777" w:rsidR="00F3622C" w:rsidRDefault="00F3622C">
      <w:r>
        <w:separator/>
      </w:r>
    </w:p>
  </w:endnote>
  <w:endnote w:type="continuationSeparator" w:id="0">
    <w:p w14:paraId="10B234EC" w14:textId="77777777" w:rsidR="00F3622C" w:rsidRDefault="00F3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526A7" w14:textId="77777777" w:rsidR="00F3622C" w:rsidRDefault="00F3622C">
      <w:r>
        <w:separator/>
      </w:r>
    </w:p>
  </w:footnote>
  <w:footnote w:type="continuationSeparator" w:id="0">
    <w:p w14:paraId="2F0F4AF9" w14:textId="77777777" w:rsidR="00F3622C" w:rsidRDefault="00F36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0E30D" w14:textId="77777777" w:rsidR="00C43541" w:rsidRDefault="00C43541">
    <w:pPr>
      <w:pStyle w:val="Koptekst"/>
    </w:pPr>
    <w:r>
      <w:fldChar w:fldCharType="begin"/>
    </w:r>
    <w:r>
      <w:instrText xml:space="preserve">page </w:instrText>
    </w:r>
    <w:r>
      <w:fldChar w:fldCharType="separate"/>
    </w:r>
    <w:r w:rsidR="009945A5">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F5BBB"/>
    <w:multiLevelType w:val="hybridMultilevel"/>
    <w:tmpl w:val="A0DA35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62E4910"/>
    <w:multiLevelType w:val="hybridMultilevel"/>
    <w:tmpl w:val="EF96E134"/>
    <w:lvl w:ilvl="0" w:tplc="C8E45EA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46A74510"/>
    <w:multiLevelType w:val="hybridMultilevel"/>
    <w:tmpl w:val="85F4617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 w15:restartNumberingAfterBreak="0">
    <w:nsid w:val="67EA538E"/>
    <w:multiLevelType w:val="hybridMultilevel"/>
    <w:tmpl w:val="6EEE27A0"/>
    <w:lvl w:ilvl="0" w:tplc="1F1CF8EE">
      <w:numFmt w:val="bullet"/>
      <w:lvlText w:val="-"/>
      <w:lvlJc w:val="left"/>
      <w:pPr>
        <w:ind w:left="345" w:hanging="360"/>
      </w:pPr>
      <w:rPr>
        <w:rFonts w:ascii="Calibri Light" w:eastAsia="Lucida Sans Typewriter" w:hAnsi="Calibri Light" w:cs="Calibri Light"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 w15:restartNumberingAfterBreak="0">
    <w:nsid w:val="756A2AA6"/>
    <w:multiLevelType w:val="singleLevel"/>
    <w:tmpl w:val="8924D1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F0E12A7"/>
    <w:multiLevelType w:val="singleLevel"/>
    <w:tmpl w:val="F658183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E2A59EB-29CB-42C0-BD6A-E8C14A62E83C}"/>
    <w:docVar w:name="dgnword-eventsink" w:val="1028572936"/>
  </w:docVars>
  <w:rsids>
    <w:rsidRoot w:val="004613D1"/>
    <w:rsid w:val="00057794"/>
    <w:rsid w:val="000C36FA"/>
    <w:rsid w:val="000D4970"/>
    <w:rsid w:val="000E541A"/>
    <w:rsid w:val="001664EE"/>
    <w:rsid w:val="001B1A3C"/>
    <w:rsid w:val="001D07C6"/>
    <w:rsid w:val="001F5C28"/>
    <w:rsid w:val="002943F2"/>
    <w:rsid w:val="002A7D59"/>
    <w:rsid w:val="002C2628"/>
    <w:rsid w:val="00416316"/>
    <w:rsid w:val="00423575"/>
    <w:rsid w:val="004537F4"/>
    <w:rsid w:val="004613D1"/>
    <w:rsid w:val="00536E6C"/>
    <w:rsid w:val="005A2D4C"/>
    <w:rsid w:val="005A5F4C"/>
    <w:rsid w:val="00637881"/>
    <w:rsid w:val="006525EB"/>
    <w:rsid w:val="00680C00"/>
    <w:rsid w:val="006C47CD"/>
    <w:rsid w:val="006D5A5F"/>
    <w:rsid w:val="0074709B"/>
    <w:rsid w:val="0079551E"/>
    <w:rsid w:val="008037AA"/>
    <w:rsid w:val="00817BB2"/>
    <w:rsid w:val="00832463"/>
    <w:rsid w:val="008C260B"/>
    <w:rsid w:val="0092051A"/>
    <w:rsid w:val="00974942"/>
    <w:rsid w:val="009945A5"/>
    <w:rsid w:val="00A24CB0"/>
    <w:rsid w:val="00A331A7"/>
    <w:rsid w:val="00A67DD2"/>
    <w:rsid w:val="00AE3C34"/>
    <w:rsid w:val="00AE672D"/>
    <w:rsid w:val="00B5689D"/>
    <w:rsid w:val="00BB6C11"/>
    <w:rsid w:val="00BC6668"/>
    <w:rsid w:val="00BD4CDC"/>
    <w:rsid w:val="00BE5075"/>
    <w:rsid w:val="00C2457F"/>
    <w:rsid w:val="00C248B8"/>
    <w:rsid w:val="00C43541"/>
    <w:rsid w:val="00C52DE3"/>
    <w:rsid w:val="00C7034E"/>
    <w:rsid w:val="00C86FDC"/>
    <w:rsid w:val="00D85BA9"/>
    <w:rsid w:val="00E206B6"/>
    <w:rsid w:val="00F0678C"/>
    <w:rsid w:val="00F3622C"/>
    <w:rsid w:val="00F47801"/>
    <w:rsid w:val="00F67DF2"/>
    <w:rsid w:val="00F83359"/>
    <w:rsid w:val="00FB4B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43942C3"/>
  <w15:chartTrackingRefBased/>
  <w15:docId w15:val="{9370687E-F250-4760-B3FA-0F9FE93E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40"/>
    </w:pPr>
    <w:rPr>
      <w:rFonts w:ascii="Lucida Sans Typewriter" w:hAnsi="Lucida Sans Typewriter"/>
      <w:lang w:eastAsia="fr-FR"/>
    </w:rPr>
  </w:style>
  <w:style w:type="paragraph" w:styleId="Kop1">
    <w:name w:val="heading 1"/>
    <w:basedOn w:val="Standaard"/>
    <w:next w:val="Standaard"/>
    <w:qFormat/>
    <w:pPr>
      <w:keepNext/>
      <w:spacing w:before="120"/>
      <w:outlineLvl w:val="0"/>
    </w:pPr>
    <w:rPr>
      <w:b/>
      <w:i/>
      <w:caps/>
    </w:rPr>
  </w:style>
  <w:style w:type="paragraph" w:styleId="Kop2">
    <w:name w:val="heading 2"/>
    <w:basedOn w:val="Standaard"/>
    <w:next w:val="Standaard"/>
    <w:qFormat/>
    <w:pPr>
      <w:keepNext/>
      <w:spacing w:before="120"/>
      <w:outlineLvl w:val="1"/>
    </w:pPr>
    <w:rPr>
      <w:b/>
    </w:rPr>
  </w:style>
  <w:style w:type="paragraph" w:styleId="Kop3">
    <w:name w:val="heading 3"/>
    <w:basedOn w:val="Standaard"/>
    <w:next w:val="Standaard"/>
    <w:qFormat/>
    <w:pPr>
      <w:keepNext/>
      <w:spacing w:before="120"/>
      <w:outlineLvl w:val="2"/>
    </w:pPr>
    <w:rPr>
      <w:i/>
    </w:rPr>
  </w:style>
  <w:style w:type="paragraph" w:styleId="Kop4">
    <w:name w:val="heading 4"/>
    <w:basedOn w:val="Standaard"/>
    <w:next w:val="Standaard"/>
    <w:qFormat/>
    <w:pPr>
      <w:keepNext/>
      <w:spacing w:before="120" w:after="120"/>
      <w:outlineLvl w:val="3"/>
    </w:pPr>
    <w:rPr>
      <w:u w:val="single"/>
    </w:rPr>
  </w:style>
  <w:style w:type="paragraph" w:styleId="Kop5">
    <w:name w:val="heading 5"/>
    <w:basedOn w:val="Standaard"/>
    <w:next w:val="Standaard"/>
    <w:qFormat/>
    <w:pPr>
      <w:keepNext/>
      <w:spacing w:before="120" w:after="120"/>
      <w:outlineLvl w:val="4"/>
    </w:pPr>
    <w:rPr>
      <w:i/>
      <w:u w:val="single"/>
    </w:rPr>
  </w:style>
  <w:style w:type="paragraph" w:styleId="Kop6">
    <w:name w:val="heading 6"/>
    <w:basedOn w:val="Standaard"/>
    <w:next w:val="Standaard"/>
    <w:qFormat/>
    <w:pPr>
      <w:keepNext/>
      <w:ind w:right="-482"/>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Pr>
      <w:sz w:val="16"/>
    </w:rPr>
  </w:style>
  <w:style w:type="paragraph" w:styleId="Tekstopmerking">
    <w:name w:val="annotation text"/>
    <w:basedOn w:val="Standaard"/>
    <w:semiHidden/>
  </w:style>
  <w:style w:type="paragraph" w:styleId="Voettekst">
    <w:name w:val="footer"/>
    <w:basedOn w:val="Standaard"/>
    <w:pPr>
      <w:tabs>
        <w:tab w:val="center" w:pos="4819"/>
        <w:tab w:val="right" w:pos="9071"/>
      </w:tabs>
    </w:pPr>
  </w:style>
  <w:style w:type="paragraph" w:styleId="Koptekst">
    <w:name w:val="header"/>
    <w:basedOn w:val="Standaard"/>
    <w:pPr>
      <w:suppressLineNumbers/>
      <w:spacing w:after="1200"/>
      <w:jc w:val="right"/>
    </w:pPr>
    <w:rPr>
      <w:noProof/>
    </w:rPr>
  </w:style>
  <w:style w:type="character" w:styleId="Voetnootmarkering">
    <w:name w:val="footnote reference"/>
    <w:basedOn w:val="Standaardalinea-lettertype"/>
    <w:semiHidden/>
    <w:rPr>
      <w:position w:val="6"/>
      <w:sz w:val="16"/>
    </w:rPr>
  </w:style>
  <w:style w:type="paragraph" w:styleId="Voetnoottekst">
    <w:name w:val="footnote text"/>
    <w:basedOn w:val="Standaard"/>
    <w:semiHidden/>
    <w:pPr>
      <w:spacing w:after="120"/>
    </w:pPr>
  </w:style>
  <w:style w:type="paragraph" w:styleId="Standaardinspringing">
    <w:name w:val="Normal Indent"/>
    <w:basedOn w:val="Standaard"/>
    <w:pPr>
      <w:ind w:left="369" w:hanging="369"/>
    </w:pPr>
  </w:style>
  <w:style w:type="paragraph" w:customStyle="1" w:styleId="Titre1">
    <w:name w:val="Titre1"/>
    <w:basedOn w:val="Standaard"/>
    <w:next w:val="Standaard"/>
    <w:pPr>
      <w:pBdr>
        <w:bottom w:val="single" w:sz="6" w:space="1" w:color="auto"/>
      </w:pBdr>
      <w:spacing w:after="480"/>
    </w:pPr>
    <w:rPr>
      <w:b/>
      <w:caps/>
    </w:rPr>
  </w:style>
  <w:style w:type="paragraph" w:customStyle="1" w:styleId="Template">
    <w:name w:val="Template"/>
    <w:basedOn w:val="Standaard"/>
    <w:next w:val="Standaard"/>
    <w:pPr>
      <w:framePr w:wrap="around" w:hAnchor="margin" w:y="1"/>
    </w:pPr>
    <w:rPr>
      <w:noProof/>
    </w:rPr>
  </w:style>
  <w:style w:type="paragraph" w:styleId="Plattetekst">
    <w:name w:val="Body Text"/>
    <w:basedOn w:val="Standaard"/>
    <w:pPr>
      <w:ind w:right="-482"/>
    </w:pPr>
  </w:style>
  <w:style w:type="paragraph" w:styleId="Ballontekst">
    <w:name w:val="Balloon Text"/>
    <w:basedOn w:val="Standaard"/>
    <w:semiHidden/>
    <w:rsid w:val="004613D1"/>
    <w:rPr>
      <w:rFonts w:ascii="Tahoma" w:hAnsi="Tahoma" w:cs="Tahoma"/>
      <w:sz w:val="16"/>
      <w:szCs w:val="16"/>
    </w:rPr>
  </w:style>
  <w:style w:type="paragraph" w:styleId="Onderwerpvanopmerking">
    <w:name w:val="annotation subject"/>
    <w:basedOn w:val="Tekstopmerking"/>
    <w:next w:val="Tekstopmerking"/>
    <w:semiHidden/>
    <w:rsid w:val="004613D1"/>
    <w:rPr>
      <w:b/>
      <w:bCs/>
    </w:rPr>
  </w:style>
  <w:style w:type="paragraph" w:styleId="Lijstalinea">
    <w:name w:val="List Paragraph"/>
    <w:basedOn w:val="Standaard"/>
    <w:uiPriority w:val="34"/>
    <w:qFormat/>
    <w:rsid w:val="00680C00"/>
    <w:pPr>
      <w:ind w:left="720"/>
      <w:contextualSpacing/>
    </w:pPr>
  </w:style>
  <w:style w:type="paragraph" w:styleId="Plattetekst3">
    <w:name w:val="Body Text 3"/>
    <w:basedOn w:val="Standaard"/>
    <w:link w:val="Plattetekst3Char"/>
    <w:rsid w:val="000E541A"/>
    <w:pPr>
      <w:spacing w:after="120"/>
    </w:pPr>
    <w:rPr>
      <w:sz w:val="16"/>
      <w:szCs w:val="16"/>
    </w:rPr>
  </w:style>
  <w:style w:type="character" w:customStyle="1" w:styleId="Plattetekst3Char">
    <w:name w:val="Platte tekst 3 Char"/>
    <w:basedOn w:val="Standaardalinea-lettertype"/>
    <w:link w:val="Plattetekst3"/>
    <w:rsid w:val="000E541A"/>
    <w:rPr>
      <w:rFonts w:ascii="Lucida Sans Typewriter" w:hAnsi="Lucida Sans Typewriter"/>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1195</Words>
  <Characters>6469</Characters>
  <Application>Microsoft Office Word</Application>
  <DocSecurity>0</DocSecurity>
  <Lines>53</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Comptes distincts des agents immobiliers</vt:lpstr>
      <vt:lpstr>Comptes distincts des agents immobiliers</vt:lpstr>
      <vt:lpstr>Comptes distincts des agents immobiliers</vt:lpstr>
    </vt:vector>
  </TitlesOfParts>
  <Company>Belgian Bankers' Association</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Comptes distincts des agents immobiliers</dc:title>
  <dc:subject>JUR 1182</dc:subject>
  <dc:creator>RG</dc:creator>
  <cp:keywords>$05 DOC FR</cp:keywords>
  <dc:description>Convention</dc:description>
  <cp:lastModifiedBy>Yannick O</cp:lastModifiedBy>
  <cp:revision>3</cp:revision>
  <cp:lastPrinted>2018-03-29T07:52:00Z</cp:lastPrinted>
  <dcterms:created xsi:type="dcterms:W3CDTF">2018-06-13T06:09:00Z</dcterms:created>
  <dcterms:modified xsi:type="dcterms:W3CDTF">2018-06-13T06:19:00Z</dcterms:modified>
</cp:coreProperties>
</file>