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C404" w14:textId="77777777" w:rsidR="00CB53AA" w:rsidRPr="00320BCB" w:rsidRDefault="00CB53AA" w:rsidP="00CB53AA">
      <w:pPr>
        <w:rPr>
          <w:color w:val="000000"/>
          <w:sz w:val="24"/>
          <w:szCs w:val="24"/>
          <w:highlight w:val="yellow"/>
        </w:rPr>
      </w:pPr>
    </w:p>
    <w:p w14:paraId="39A391F0" w14:textId="77777777" w:rsidR="00CB53AA" w:rsidRPr="00320BCB" w:rsidRDefault="00CB53AA" w:rsidP="00CB53AA">
      <w:pPr>
        <w:rPr>
          <w:color w:val="000000"/>
          <w:sz w:val="24"/>
          <w:szCs w:val="24"/>
          <w:highlight w:val="yellow"/>
        </w:rPr>
      </w:pPr>
    </w:p>
    <w:p w14:paraId="53227EC6" w14:textId="77777777" w:rsidR="00CB53AA" w:rsidRPr="00320BCB" w:rsidRDefault="00CB53AA" w:rsidP="000C408D">
      <w:pPr>
        <w:pBdr>
          <w:top w:val="single" w:sz="4" w:space="1" w:color="auto"/>
          <w:left w:val="single" w:sz="4" w:space="4" w:color="auto"/>
          <w:bottom w:val="single" w:sz="4" w:space="1" w:color="auto"/>
          <w:right w:val="single" w:sz="4" w:space="4" w:color="auto"/>
        </w:pBdr>
        <w:jc w:val="center"/>
        <w:rPr>
          <w:color w:val="000000"/>
          <w:sz w:val="24"/>
          <w:szCs w:val="24"/>
        </w:rPr>
      </w:pPr>
      <w:r w:rsidRPr="00320BCB">
        <w:rPr>
          <w:color w:val="000000"/>
          <w:sz w:val="24"/>
          <w:szCs w:val="24"/>
        </w:rPr>
        <w:t>(</w:t>
      </w:r>
      <w:r w:rsidR="007036FF">
        <w:rPr>
          <w:color w:val="000000"/>
          <w:sz w:val="24"/>
          <w:szCs w:val="24"/>
        </w:rPr>
        <w:t>modèle</w:t>
      </w:r>
      <w:r w:rsidRPr="00320BCB">
        <w:rPr>
          <w:color w:val="000000"/>
          <w:sz w:val="24"/>
          <w:szCs w:val="24"/>
        </w:rPr>
        <w:t>)</w:t>
      </w:r>
    </w:p>
    <w:p w14:paraId="6D6662EB" w14:textId="77777777" w:rsidR="00CB53AA" w:rsidRPr="00320BCB" w:rsidRDefault="00CB53AA" w:rsidP="000C408D">
      <w:pPr>
        <w:pBdr>
          <w:top w:val="single" w:sz="4" w:space="1" w:color="auto"/>
          <w:left w:val="single" w:sz="4" w:space="4" w:color="auto"/>
          <w:bottom w:val="single" w:sz="4" w:space="1" w:color="auto"/>
          <w:right w:val="single" w:sz="4" w:space="4" w:color="auto"/>
        </w:pBdr>
        <w:jc w:val="center"/>
        <w:rPr>
          <w:color w:val="000000"/>
          <w:sz w:val="24"/>
          <w:szCs w:val="24"/>
        </w:rPr>
      </w:pPr>
      <w:r w:rsidRPr="00320BCB">
        <w:rPr>
          <w:color w:val="000000"/>
          <w:sz w:val="24"/>
          <w:szCs w:val="24"/>
        </w:rPr>
        <w:t>LISTE DES OPERATIONS ATYPIQUES</w:t>
      </w:r>
    </w:p>
    <w:p w14:paraId="0BEDCE48" w14:textId="77777777" w:rsidR="00CB53AA" w:rsidRPr="00320BCB" w:rsidRDefault="00CB53AA" w:rsidP="000C408D">
      <w:pPr>
        <w:pBdr>
          <w:top w:val="single" w:sz="4" w:space="1" w:color="auto"/>
          <w:left w:val="single" w:sz="4" w:space="4" w:color="auto"/>
          <w:bottom w:val="single" w:sz="4" w:space="1" w:color="auto"/>
          <w:right w:val="single" w:sz="4" w:space="4" w:color="auto"/>
        </w:pBdr>
        <w:tabs>
          <w:tab w:val="left" w:pos="2880"/>
        </w:tabs>
        <w:jc w:val="center"/>
        <w:rPr>
          <w:color w:val="000000"/>
          <w:sz w:val="24"/>
          <w:szCs w:val="24"/>
        </w:rPr>
      </w:pPr>
      <w:r w:rsidRPr="00320BCB">
        <w:rPr>
          <w:color w:val="000000"/>
          <w:sz w:val="24"/>
          <w:szCs w:val="24"/>
        </w:rPr>
        <w:t>AGENT IMMOBILIER</w:t>
      </w:r>
    </w:p>
    <w:p w14:paraId="3D0F4BD7" w14:textId="77777777" w:rsidR="00CB53AA" w:rsidRDefault="00CB53AA" w:rsidP="00CB53AA">
      <w:pPr>
        <w:rPr>
          <w:color w:val="000000"/>
          <w:sz w:val="24"/>
          <w:szCs w:val="24"/>
          <w:highlight w:val="yellow"/>
        </w:rPr>
      </w:pPr>
    </w:p>
    <w:p w14:paraId="2101C301" w14:textId="77777777" w:rsidR="00CB53AA" w:rsidRPr="00320BCB" w:rsidRDefault="00CB53AA" w:rsidP="00656A8A">
      <w:pPr>
        <w:jc w:val="both"/>
        <w:rPr>
          <w:color w:val="000000"/>
          <w:sz w:val="24"/>
          <w:szCs w:val="24"/>
        </w:rPr>
      </w:pPr>
      <w:r w:rsidRPr="00F542CF">
        <w:rPr>
          <w:color w:val="000000"/>
          <w:sz w:val="24"/>
          <w:szCs w:val="24"/>
          <w:highlight w:val="lightGray"/>
        </w:rPr>
        <w:t xml:space="preserve">« </w:t>
      </w:r>
      <w:r w:rsidRPr="001B3FEA">
        <w:rPr>
          <w:b/>
          <w:bCs/>
          <w:color w:val="000000"/>
          <w:sz w:val="24"/>
          <w:szCs w:val="24"/>
          <w:highlight w:val="lightGray"/>
        </w:rPr>
        <w:t>opération atypique</w:t>
      </w:r>
      <w:r w:rsidRPr="00F542CF">
        <w:rPr>
          <w:color w:val="000000"/>
          <w:sz w:val="24"/>
          <w:szCs w:val="24"/>
          <w:highlight w:val="lightGray"/>
        </w:rPr>
        <w:t xml:space="preserve"> » : une opération qui, notamment, de par sa nature, de par les circonstances qui l'entourent, de par la qualité des personnes impliquées, de par son caractère inhabituel au regard des activités du client, ou parce qu'elle n'apparaît pas cohérente avec ce que l'agent immobilier connaît de son client, de ses activités professionnelles, de son profil de risque et, lorsque cela s'avère nécessaire, de l'origine des fonds, est particulièrement susceptible d'être liée au blanchiment de capitaux ou au financement du terrorisme</w:t>
      </w:r>
    </w:p>
    <w:p w14:paraId="5BA2C7B1" w14:textId="17399C7E" w:rsidR="00CB53AA" w:rsidRDefault="00CB53AA" w:rsidP="00CB53AA">
      <w:pPr>
        <w:rPr>
          <w:color w:val="000000"/>
          <w:sz w:val="24"/>
          <w:szCs w:val="24"/>
          <w:highlight w:val="yellow"/>
        </w:rPr>
      </w:pPr>
    </w:p>
    <w:p w14:paraId="6AA21BB8" w14:textId="2AA6E15E" w:rsidR="00D4480A" w:rsidRPr="00D4480A" w:rsidRDefault="00D4480A" w:rsidP="001B3FEA">
      <w:pPr>
        <w:jc w:val="both"/>
        <w:rPr>
          <w:color w:val="000000"/>
          <w:sz w:val="24"/>
          <w:szCs w:val="24"/>
        </w:rPr>
      </w:pPr>
      <w:r w:rsidRPr="00D4480A">
        <w:rPr>
          <w:color w:val="000000"/>
          <w:sz w:val="24"/>
          <w:szCs w:val="24"/>
        </w:rPr>
        <w:t>L</w:t>
      </w:r>
      <w:r>
        <w:rPr>
          <w:color w:val="000000"/>
          <w:sz w:val="24"/>
          <w:szCs w:val="24"/>
        </w:rPr>
        <w:t xml:space="preserve">’agent immobilier </w:t>
      </w:r>
      <w:r w:rsidRPr="00D4480A">
        <w:rPr>
          <w:color w:val="000000"/>
          <w:sz w:val="24"/>
          <w:szCs w:val="24"/>
        </w:rPr>
        <w:t>soumet à une analyse spécifique, dans la mesure de ce qui est raisonnablement possible, le contexte et la finalité de toute opération qui remplit au moins une des conditions suivantes :</w:t>
      </w:r>
    </w:p>
    <w:p w14:paraId="680E4C04" w14:textId="77777777" w:rsidR="00D4480A" w:rsidRPr="00D4480A" w:rsidRDefault="00D4480A" w:rsidP="00D4480A">
      <w:pPr>
        <w:rPr>
          <w:color w:val="000000"/>
          <w:sz w:val="24"/>
          <w:szCs w:val="24"/>
        </w:rPr>
      </w:pPr>
      <w:r w:rsidRPr="00D4480A">
        <w:rPr>
          <w:color w:val="000000"/>
          <w:sz w:val="24"/>
          <w:szCs w:val="24"/>
        </w:rPr>
        <w:t>1° l'opération en cause est complexe;</w:t>
      </w:r>
    </w:p>
    <w:p w14:paraId="07871E0F" w14:textId="77777777" w:rsidR="00D4480A" w:rsidRPr="00D4480A" w:rsidRDefault="00D4480A" w:rsidP="00D4480A">
      <w:pPr>
        <w:rPr>
          <w:color w:val="000000"/>
          <w:sz w:val="24"/>
          <w:szCs w:val="24"/>
        </w:rPr>
      </w:pPr>
      <w:r w:rsidRPr="00D4480A">
        <w:rPr>
          <w:color w:val="000000"/>
          <w:sz w:val="24"/>
          <w:szCs w:val="24"/>
        </w:rPr>
        <w:t>2° le montant de l'opération concernée est anormalement élevé;</w:t>
      </w:r>
    </w:p>
    <w:p w14:paraId="6598C870" w14:textId="77777777" w:rsidR="00D4480A" w:rsidRPr="00D4480A" w:rsidRDefault="00D4480A" w:rsidP="00D4480A">
      <w:pPr>
        <w:rPr>
          <w:color w:val="000000"/>
          <w:sz w:val="24"/>
          <w:szCs w:val="24"/>
        </w:rPr>
      </w:pPr>
      <w:r w:rsidRPr="00D4480A">
        <w:rPr>
          <w:color w:val="000000"/>
          <w:sz w:val="24"/>
          <w:szCs w:val="24"/>
        </w:rPr>
        <w:t>3° l'opération est opérée selon un schéma inhabituel;</w:t>
      </w:r>
    </w:p>
    <w:p w14:paraId="1835503D" w14:textId="314E6A39" w:rsidR="00D435A2" w:rsidRDefault="00D4480A" w:rsidP="00D4480A">
      <w:pPr>
        <w:rPr>
          <w:color w:val="000000"/>
          <w:sz w:val="24"/>
          <w:szCs w:val="24"/>
          <w:highlight w:val="yellow"/>
        </w:rPr>
      </w:pPr>
      <w:r w:rsidRPr="00D4480A">
        <w:rPr>
          <w:color w:val="000000"/>
          <w:sz w:val="24"/>
          <w:szCs w:val="24"/>
        </w:rPr>
        <w:t>4° l'opération n'a pas d'objet économique ou licite apparent.</w:t>
      </w:r>
    </w:p>
    <w:p w14:paraId="52656752" w14:textId="77777777" w:rsidR="00D435A2" w:rsidRPr="00320BCB" w:rsidRDefault="00D435A2" w:rsidP="00CB53AA">
      <w:pPr>
        <w:rPr>
          <w:color w:val="000000"/>
          <w:sz w:val="24"/>
          <w:szCs w:val="24"/>
          <w:highlight w:val="yellow"/>
        </w:rPr>
      </w:pPr>
    </w:p>
    <w:p w14:paraId="0ED3B256" w14:textId="77777777" w:rsidR="00CB53AA" w:rsidRPr="00F542CF" w:rsidRDefault="00CB53AA" w:rsidP="00CB53AA">
      <w:pPr>
        <w:rPr>
          <w:b/>
          <w:color w:val="000000"/>
          <w:sz w:val="24"/>
          <w:szCs w:val="24"/>
        </w:rPr>
      </w:pPr>
      <w:r w:rsidRPr="00F542CF">
        <w:rPr>
          <w:b/>
          <w:color w:val="000000"/>
          <w:sz w:val="24"/>
          <w:szCs w:val="24"/>
        </w:rPr>
        <w:t>Sont notamment à considérer comme des transactions atypiques :</w:t>
      </w:r>
    </w:p>
    <w:p w14:paraId="4BAFCA43" w14:textId="38455CCA" w:rsidR="00CB53AA" w:rsidRDefault="00CB53AA" w:rsidP="00C505EF">
      <w:pPr>
        <w:rPr>
          <w:color w:val="000000"/>
          <w:sz w:val="24"/>
          <w:szCs w:val="24"/>
        </w:rPr>
      </w:pPr>
      <w:r w:rsidRPr="00320BCB">
        <w:rPr>
          <w:color w:val="000000"/>
          <w:sz w:val="24"/>
          <w:szCs w:val="24"/>
        </w:rPr>
        <w:br/>
      </w:r>
    </w:p>
    <w:p w14:paraId="3AB8B42F" w14:textId="5AE534FB" w:rsidR="00C505EF" w:rsidRDefault="00C505EF" w:rsidP="00C505EF">
      <w:pPr>
        <w:rPr>
          <w:color w:val="000000"/>
          <w:sz w:val="24"/>
          <w:szCs w:val="24"/>
        </w:rPr>
      </w:pPr>
    </w:p>
    <w:p w14:paraId="6F2BAC41" w14:textId="748235DC" w:rsidR="00B97D87" w:rsidRPr="00B97D87" w:rsidRDefault="00C505EF" w:rsidP="00B97D87">
      <w:pPr>
        <w:rPr>
          <w:color w:val="000000"/>
          <w:sz w:val="24"/>
          <w:szCs w:val="24"/>
        </w:rPr>
      </w:pPr>
      <w:r>
        <w:rPr>
          <w:color w:val="000000"/>
          <w:sz w:val="24"/>
          <w:szCs w:val="24"/>
        </w:rPr>
        <w:t xml:space="preserve">- </w:t>
      </w:r>
      <w:r w:rsidR="00B97D87" w:rsidRPr="00B97D87">
        <w:rPr>
          <w:color w:val="000000"/>
          <w:sz w:val="24"/>
          <w:szCs w:val="24"/>
        </w:rPr>
        <w:t>les facteurs de risques visés à l'annexe III, de la loi ;</w:t>
      </w:r>
    </w:p>
    <w:p w14:paraId="797C2069" w14:textId="72D58F8F" w:rsidR="00B97D87" w:rsidRPr="00B97D87" w:rsidRDefault="00B97D87" w:rsidP="00B97D87">
      <w:pPr>
        <w:rPr>
          <w:color w:val="000000"/>
          <w:sz w:val="24"/>
          <w:szCs w:val="24"/>
        </w:rPr>
      </w:pPr>
      <w:r w:rsidRPr="00B97D87">
        <w:rPr>
          <w:color w:val="000000"/>
          <w:sz w:val="24"/>
          <w:szCs w:val="24"/>
        </w:rPr>
        <w:t>- les opérations présentant une disproportion entre la transaction immobilière réalisée et la situation socio-économique du client ;</w:t>
      </w:r>
    </w:p>
    <w:p w14:paraId="7C3D1592" w14:textId="77777777" w:rsidR="00B97D87" w:rsidRDefault="00B97D87" w:rsidP="00B97D87">
      <w:pPr>
        <w:rPr>
          <w:color w:val="000000"/>
          <w:sz w:val="24"/>
          <w:szCs w:val="24"/>
        </w:rPr>
      </w:pPr>
      <w:r w:rsidRPr="00B97D87">
        <w:rPr>
          <w:color w:val="000000"/>
          <w:sz w:val="24"/>
          <w:szCs w:val="24"/>
        </w:rPr>
        <w:t>- les paiements faits au nom du client sur le compte d'un agent immobilier provenant d'une institution financière établie dans un pays ou un territoire qualifié de pays ou territoire non coopératif par le GAFI ou l'égard duquel celui-ci recommande des contre-mesures ou une vigilance renforcée ;</w:t>
      </w:r>
    </w:p>
    <w:p w14:paraId="1FBE061D" w14:textId="0E08A20A" w:rsidR="00B97D87" w:rsidRPr="00B97D87" w:rsidRDefault="00B97D87" w:rsidP="00B97D87">
      <w:pPr>
        <w:rPr>
          <w:color w:val="000000"/>
          <w:sz w:val="24"/>
          <w:szCs w:val="24"/>
        </w:rPr>
      </w:pPr>
      <w:r w:rsidRPr="00B97D87">
        <w:rPr>
          <w:color w:val="000000"/>
          <w:sz w:val="24"/>
          <w:szCs w:val="24"/>
        </w:rPr>
        <w:t>- les opérations que le client a l'intention de payer en espèces, à l'exception du paiement autorisé en vertu de l'article 66 ou 67 de la loi.</w:t>
      </w:r>
    </w:p>
    <w:p w14:paraId="2BEBD121" w14:textId="5CE81C53" w:rsidR="00B97D87" w:rsidRPr="00B97D87" w:rsidRDefault="00B97D87" w:rsidP="00B97D87">
      <w:pPr>
        <w:rPr>
          <w:color w:val="000000"/>
          <w:sz w:val="24"/>
          <w:szCs w:val="24"/>
        </w:rPr>
      </w:pPr>
      <w:r w:rsidRPr="00B97D87">
        <w:rPr>
          <w:color w:val="000000"/>
          <w:sz w:val="24"/>
          <w:szCs w:val="24"/>
        </w:rPr>
        <w:t>- la vente ou l'achat d'un bien immobilier à un prix bien nettement inférieur ou supérieur à sa valeur vénale ;</w:t>
      </w:r>
    </w:p>
    <w:p w14:paraId="75FC5374" w14:textId="5805745E" w:rsidR="000225C9" w:rsidRDefault="00B97D87" w:rsidP="00CB53AA">
      <w:pPr>
        <w:rPr>
          <w:color w:val="000000"/>
          <w:sz w:val="24"/>
          <w:szCs w:val="24"/>
        </w:rPr>
      </w:pPr>
      <w:r w:rsidRPr="00B97D87">
        <w:rPr>
          <w:color w:val="000000"/>
          <w:sz w:val="24"/>
          <w:szCs w:val="24"/>
        </w:rPr>
        <w:t>- les opérations avec les personnes morales dont les fonds propres sont inférieurs au prix d'achat de l'immeuble</w:t>
      </w:r>
      <w:r>
        <w:rPr>
          <w:color w:val="000000"/>
          <w:sz w:val="24"/>
          <w:szCs w:val="24"/>
        </w:rPr>
        <w:t> ;</w:t>
      </w:r>
    </w:p>
    <w:p w14:paraId="512AC5AE" w14:textId="5BB79E09" w:rsidR="000225C9" w:rsidRDefault="001B3FEA" w:rsidP="001B3FEA">
      <w:pPr>
        <w:pStyle w:val="Lijstalinea"/>
        <w:ind w:left="0"/>
        <w:rPr>
          <w:color w:val="000000"/>
          <w:sz w:val="24"/>
          <w:szCs w:val="24"/>
        </w:rPr>
      </w:pPr>
      <w:r>
        <w:rPr>
          <w:color w:val="000000"/>
          <w:sz w:val="24"/>
          <w:szCs w:val="24"/>
        </w:rPr>
        <w:t xml:space="preserve">- </w:t>
      </w:r>
      <w:r w:rsidR="00DB2238" w:rsidRPr="00DB2238">
        <w:rPr>
          <w:color w:val="000000"/>
          <w:sz w:val="24"/>
          <w:szCs w:val="24"/>
        </w:rPr>
        <w:t xml:space="preserve">(les membres </w:t>
      </w:r>
      <w:r w:rsidR="00304082">
        <w:rPr>
          <w:color w:val="000000"/>
          <w:sz w:val="24"/>
          <w:szCs w:val="24"/>
        </w:rPr>
        <w:t>IPI</w:t>
      </w:r>
      <w:r w:rsidR="00DB2238" w:rsidRPr="00DB2238">
        <w:rPr>
          <w:color w:val="000000"/>
          <w:sz w:val="24"/>
          <w:szCs w:val="24"/>
        </w:rPr>
        <w:t xml:space="preserve"> peuvent ajouter eux-mêmes à cette liste)</w:t>
      </w:r>
    </w:p>
    <w:p w14:paraId="1C07591F" w14:textId="77777777" w:rsidR="001B3FEA" w:rsidRPr="001B3FEA" w:rsidRDefault="001B3FEA" w:rsidP="001B3FEA">
      <w:pPr>
        <w:pStyle w:val="Lijstalinea"/>
        <w:ind w:left="0"/>
        <w:rPr>
          <w:color w:val="000000"/>
          <w:sz w:val="24"/>
          <w:szCs w:val="24"/>
        </w:rPr>
      </w:pPr>
    </w:p>
    <w:p w14:paraId="31EF4C19" w14:textId="77777777" w:rsidR="00CB53AA" w:rsidRPr="00320BCB" w:rsidRDefault="00CB53AA" w:rsidP="00CB53AA">
      <w:pPr>
        <w:rPr>
          <w:color w:val="000000"/>
          <w:sz w:val="24"/>
          <w:szCs w:val="24"/>
          <w:highlight w:val="lightGray"/>
        </w:rPr>
      </w:pPr>
    </w:p>
    <w:sectPr w:rsidR="00CB53AA" w:rsidRPr="00320BC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3B13" w14:textId="77777777" w:rsidR="006B0D00" w:rsidRDefault="006B0D00" w:rsidP="006B0D00">
      <w:r>
        <w:separator/>
      </w:r>
    </w:p>
  </w:endnote>
  <w:endnote w:type="continuationSeparator" w:id="0">
    <w:p w14:paraId="6B5BCE4E" w14:textId="77777777" w:rsidR="006B0D00" w:rsidRDefault="006B0D00" w:rsidP="006B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45AD" w14:textId="644E22D2" w:rsidR="006B0D00" w:rsidRDefault="006B0D00">
    <w:pPr>
      <w:pStyle w:val="Voettekst"/>
    </w:pPr>
    <w:r>
      <w:t xml:space="preserve">v. </w:t>
    </w:r>
    <w:r w:rsidR="00C505EF">
      <w:t>12 juillet 2022</w:t>
    </w:r>
  </w:p>
  <w:p w14:paraId="18A4D537" w14:textId="77777777" w:rsidR="006B0D00" w:rsidRDefault="006B0D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3A2B" w14:textId="77777777" w:rsidR="006B0D00" w:rsidRDefault="006B0D00" w:rsidP="006B0D00">
      <w:r>
        <w:separator/>
      </w:r>
    </w:p>
  </w:footnote>
  <w:footnote w:type="continuationSeparator" w:id="0">
    <w:p w14:paraId="43244A84" w14:textId="77777777" w:rsidR="006B0D00" w:rsidRDefault="006B0D00" w:rsidP="006B0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85755"/>
    <w:multiLevelType w:val="hybridMultilevel"/>
    <w:tmpl w:val="AAECAF6C"/>
    <w:lvl w:ilvl="0" w:tplc="14404D8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59F01D3A"/>
    <w:multiLevelType w:val="hybridMultilevel"/>
    <w:tmpl w:val="DB2CBF58"/>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AA"/>
    <w:rsid w:val="000225C9"/>
    <w:rsid w:val="000325EA"/>
    <w:rsid w:val="000B25DB"/>
    <w:rsid w:val="000C408D"/>
    <w:rsid w:val="001B3FEA"/>
    <w:rsid w:val="002D094E"/>
    <w:rsid w:val="00304082"/>
    <w:rsid w:val="00320BCB"/>
    <w:rsid w:val="004633A1"/>
    <w:rsid w:val="00656A8A"/>
    <w:rsid w:val="00661BD6"/>
    <w:rsid w:val="006B0D00"/>
    <w:rsid w:val="007036FF"/>
    <w:rsid w:val="00777423"/>
    <w:rsid w:val="007A0412"/>
    <w:rsid w:val="00884ECB"/>
    <w:rsid w:val="00917BDD"/>
    <w:rsid w:val="00B97D87"/>
    <w:rsid w:val="00BB59F9"/>
    <w:rsid w:val="00C505EF"/>
    <w:rsid w:val="00C8764E"/>
    <w:rsid w:val="00C97774"/>
    <w:rsid w:val="00CB53AA"/>
    <w:rsid w:val="00D435A2"/>
    <w:rsid w:val="00D4480A"/>
    <w:rsid w:val="00D53289"/>
    <w:rsid w:val="00DB2238"/>
    <w:rsid w:val="00DC6208"/>
    <w:rsid w:val="00F15063"/>
    <w:rsid w:val="00F5039A"/>
    <w:rsid w:val="00F542CF"/>
    <w:rsid w:val="00FB15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7236"/>
  <w15:chartTrackingRefBased/>
  <w15:docId w15:val="{529EEC96-5100-43A4-9A01-60C3633B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53A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BB59F9"/>
  </w:style>
  <w:style w:type="paragraph" w:styleId="Ballontekst">
    <w:name w:val="Balloon Text"/>
    <w:basedOn w:val="Standaard"/>
    <w:link w:val="BallontekstChar"/>
    <w:uiPriority w:val="99"/>
    <w:semiHidden/>
    <w:unhideWhenUsed/>
    <w:rsid w:val="00F542C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42CF"/>
    <w:rPr>
      <w:rFonts w:ascii="Segoe UI" w:hAnsi="Segoe UI" w:cs="Segoe UI"/>
      <w:sz w:val="18"/>
      <w:szCs w:val="18"/>
    </w:rPr>
  </w:style>
  <w:style w:type="paragraph" w:styleId="Lijstalinea">
    <w:name w:val="List Paragraph"/>
    <w:basedOn w:val="Standaard"/>
    <w:uiPriority w:val="34"/>
    <w:qFormat/>
    <w:rsid w:val="00F542CF"/>
    <w:pPr>
      <w:ind w:left="720"/>
      <w:contextualSpacing/>
    </w:pPr>
  </w:style>
  <w:style w:type="paragraph" w:styleId="Koptekst">
    <w:name w:val="header"/>
    <w:basedOn w:val="Standaard"/>
    <w:link w:val="KoptekstChar"/>
    <w:uiPriority w:val="99"/>
    <w:unhideWhenUsed/>
    <w:rsid w:val="006B0D00"/>
    <w:pPr>
      <w:tabs>
        <w:tab w:val="center" w:pos="4536"/>
        <w:tab w:val="right" w:pos="9072"/>
      </w:tabs>
    </w:pPr>
  </w:style>
  <w:style w:type="character" w:customStyle="1" w:styleId="KoptekstChar">
    <w:name w:val="Koptekst Char"/>
    <w:basedOn w:val="Standaardalinea-lettertype"/>
    <w:link w:val="Koptekst"/>
    <w:uiPriority w:val="99"/>
    <w:rsid w:val="006B0D00"/>
    <w:rPr>
      <w:rFonts w:ascii="Calibri" w:hAnsi="Calibri" w:cs="Times New Roman"/>
    </w:rPr>
  </w:style>
  <w:style w:type="paragraph" w:styleId="Voettekst">
    <w:name w:val="footer"/>
    <w:basedOn w:val="Standaard"/>
    <w:link w:val="VoettekstChar"/>
    <w:uiPriority w:val="99"/>
    <w:unhideWhenUsed/>
    <w:rsid w:val="006B0D00"/>
    <w:pPr>
      <w:tabs>
        <w:tab w:val="center" w:pos="4536"/>
        <w:tab w:val="right" w:pos="9072"/>
      </w:tabs>
    </w:pPr>
  </w:style>
  <w:style w:type="character" w:customStyle="1" w:styleId="VoettekstChar">
    <w:name w:val="Voettekst Char"/>
    <w:basedOn w:val="Standaardalinea-lettertype"/>
    <w:link w:val="Voettekst"/>
    <w:uiPriority w:val="99"/>
    <w:rsid w:val="006B0D0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57777">
      <w:bodyDiv w:val="1"/>
      <w:marLeft w:val="0"/>
      <w:marRight w:val="0"/>
      <w:marTop w:val="0"/>
      <w:marBottom w:val="0"/>
      <w:divBdr>
        <w:top w:val="none" w:sz="0" w:space="0" w:color="auto"/>
        <w:left w:val="none" w:sz="0" w:space="0" w:color="auto"/>
        <w:bottom w:val="none" w:sz="0" w:space="0" w:color="auto"/>
        <w:right w:val="none" w:sz="0" w:space="0" w:color="auto"/>
      </w:divBdr>
      <w:divsChild>
        <w:div w:id="1147363159">
          <w:marLeft w:val="0"/>
          <w:marRight w:val="0"/>
          <w:marTop w:val="0"/>
          <w:marBottom w:val="0"/>
          <w:divBdr>
            <w:top w:val="none" w:sz="0" w:space="0" w:color="auto"/>
            <w:left w:val="none" w:sz="0" w:space="0" w:color="auto"/>
            <w:bottom w:val="none" w:sz="0" w:space="0" w:color="auto"/>
            <w:right w:val="none" w:sz="0" w:space="0" w:color="auto"/>
          </w:divBdr>
          <w:divsChild>
            <w:div w:id="230119886">
              <w:marLeft w:val="0"/>
              <w:marRight w:val="0"/>
              <w:marTop w:val="0"/>
              <w:marBottom w:val="0"/>
              <w:divBdr>
                <w:top w:val="none" w:sz="0" w:space="0" w:color="auto"/>
                <w:left w:val="none" w:sz="0" w:space="0" w:color="auto"/>
                <w:bottom w:val="none" w:sz="0" w:space="0" w:color="auto"/>
                <w:right w:val="none" w:sz="0" w:space="0" w:color="auto"/>
              </w:divBdr>
              <w:divsChild>
                <w:div w:id="1710297840">
                  <w:marLeft w:val="0"/>
                  <w:marRight w:val="0"/>
                  <w:marTop w:val="0"/>
                  <w:marBottom w:val="0"/>
                  <w:divBdr>
                    <w:top w:val="none" w:sz="0" w:space="0" w:color="auto"/>
                    <w:left w:val="none" w:sz="0" w:space="0" w:color="auto"/>
                    <w:bottom w:val="none" w:sz="0" w:space="0" w:color="auto"/>
                    <w:right w:val="none" w:sz="0" w:space="0" w:color="auto"/>
                  </w:divBdr>
                  <w:divsChild>
                    <w:div w:id="377049567">
                      <w:marLeft w:val="0"/>
                      <w:marRight w:val="0"/>
                      <w:marTop w:val="0"/>
                      <w:marBottom w:val="0"/>
                      <w:divBdr>
                        <w:top w:val="none" w:sz="0" w:space="0" w:color="auto"/>
                        <w:left w:val="none" w:sz="0" w:space="0" w:color="auto"/>
                        <w:bottom w:val="none" w:sz="0" w:space="0" w:color="auto"/>
                        <w:right w:val="none" w:sz="0" w:space="0" w:color="auto"/>
                      </w:divBdr>
                      <w:divsChild>
                        <w:div w:id="1828476481">
                          <w:marLeft w:val="0"/>
                          <w:marRight w:val="0"/>
                          <w:marTop w:val="0"/>
                          <w:marBottom w:val="0"/>
                          <w:divBdr>
                            <w:top w:val="none" w:sz="0" w:space="0" w:color="auto"/>
                            <w:left w:val="none" w:sz="0" w:space="0" w:color="auto"/>
                            <w:bottom w:val="none" w:sz="0" w:space="0" w:color="auto"/>
                            <w:right w:val="none" w:sz="0" w:space="0" w:color="auto"/>
                          </w:divBdr>
                          <w:divsChild>
                            <w:div w:id="8141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9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E311C0C2B57D49893849B9B869AAF1" ma:contentTypeVersion="18" ma:contentTypeDescription="Een nieuw document maken." ma:contentTypeScope="" ma:versionID="4675ea665080c88513a5f6f6ddc50fa1">
  <xsd:schema xmlns:xsd="http://www.w3.org/2001/XMLSchema" xmlns:xs="http://www.w3.org/2001/XMLSchema" xmlns:p="http://schemas.microsoft.com/office/2006/metadata/properties" xmlns:ns3="91d6ddb7-085d-483a-8efd-bd9e7fe22397" xmlns:ns4="02ce6a19-fafd-4d6a-8169-a90241b99455" targetNamespace="http://schemas.microsoft.com/office/2006/metadata/properties" ma:root="true" ma:fieldsID="2c5149786173a7f40ae3e7dbfb2e819c" ns3:_="" ns4:_="">
    <xsd:import namespace="91d6ddb7-085d-483a-8efd-bd9e7fe22397"/>
    <xsd:import namespace="02ce6a19-fafd-4d6a-8169-a90241b99455"/>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6ddb7-085d-483a-8efd-bd9e7fe2239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e6a19-fafd-4d6a-8169-a90241b994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91d6ddb7-085d-483a-8efd-bd9e7fe22397" xsi:nil="true"/>
    <MigrationWizIdSecurityGroups xmlns="91d6ddb7-085d-483a-8efd-bd9e7fe22397" xsi:nil="true"/>
    <MigrationWizIdPermissions xmlns="91d6ddb7-085d-483a-8efd-bd9e7fe22397" xsi:nil="true"/>
    <MigrationWizIdPermissionLevels xmlns="91d6ddb7-085d-483a-8efd-bd9e7fe22397" xsi:nil="true"/>
    <MigrationWizId xmlns="91d6ddb7-085d-483a-8efd-bd9e7fe22397" xsi:nil="true"/>
  </documentManagement>
</p:properties>
</file>

<file path=customXml/itemProps1.xml><?xml version="1.0" encoding="utf-8"?>
<ds:datastoreItem xmlns:ds="http://schemas.openxmlformats.org/officeDocument/2006/customXml" ds:itemID="{9852A1BF-14AA-4A67-99BC-A17EB4F27133}">
  <ds:schemaRefs>
    <ds:schemaRef ds:uri="http://schemas.openxmlformats.org/officeDocument/2006/bibliography"/>
  </ds:schemaRefs>
</ds:datastoreItem>
</file>

<file path=customXml/itemProps2.xml><?xml version="1.0" encoding="utf-8"?>
<ds:datastoreItem xmlns:ds="http://schemas.openxmlformats.org/officeDocument/2006/customXml" ds:itemID="{E3736563-89C1-4CCC-8FD2-33FF58E05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6ddb7-085d-483a-8efd-bd9e7fe22397"/>
    <ds:schemaRef ds:uri="02ce6a19-fafd-4d6a-8169-a90241b9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DF960-D264-4E37-A07F-3E4E4AC698D1}">
  <ds:schemaRefs>
    <ds:schemaRef ds:uri="http://schemas.microsoft.com/sharepoint/v3/contenttype/forms"/>
  </ds:schemaRefs>
</ds:datastoreItem>
</file>

<file path=customXml/itemProps4.xml><?xml version="1.0" encoding="utf-8"?>
<ds:datastoreItem xmlns:ds="http://schemas.openxmlformats.org/officeDocument/2006/customXml" ds:itemID="{0E15E3B0-980E-4704-BF69-812935A0166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1d6ddb7-085d-483a-8efd-bd9e7fe22397"/>
    <ds:schemaRef ds:uri="http://purl.org/dc/terms/"/>
    <ds:schemaRef ds:uri="02ce6a19-fafd-4d6a-8169-a90241b9945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1707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Chevalier</dc:creator>
  <cp:keywords/>
  <dc:description/>
  <cp:lastModifiedBy>Yannick O</cp:lastModifiedBy>
  <cp:revision>2</cp:revision>
  <cp:lastPrinted>2014-05-27T12:31:00Z</cp:lastPrinted>
  <dcterms:created xsi:type="dcterms:W3CDTF">2022-07-13T14:23:00Z</dcterms:created>
  <dcterms:modified xsi:type="dcterms:W3CDTF">2022-07-13T14:23:00Z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0x0101007DE311C0C2B57D49893849B9B869AAF1</vt:lpwstr>
  </property>
</Properties>
</file>